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5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42"/>
        <w:gridCol w:w="12623"/>
      </w:tblGrid>
      <w:tr w:rsidR="007238F1" w:rsidTr="007238F1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38F1" w:rsidRDefault="00921505">
            <w:pPr>
              <w:pStyle w:val="Standard"/>
              <w:snapToGrid w:val="0"/>
              <w:spacing w:line="480" w:lineRule="auto"/>
              <w:jc w:val="center"/>
              <w:rPr>
                <w:rFonts w:eastAsia="Times New Roman" w:cs="Times New Roman"/>
                <w:sz w:val="14"/>
                <w:szCs w:val="20"/>
                <w:lang w:val="it-IT" w:bidi="ar-SA"/>
              </w:rPr>
            </w:pPr>
            <w:r>
              <w:rPr>
                <w:rFonts w:eastAsia="Times New Roman" w:cs="Times New Roman"/>
                <w:noProof/>
                <w:sz w:val="14"/>
                <w:szCs w:val="20"/>
                <w:lang w:val="it-IT" w:eastAsia="it-IT" w:bidi="ar-SA"/>
              </w:rPr>
              <w:drawing>
                <wp:inline distT="0" distB="0" distL="0" distR="0">
                  <wp:extent cx="624960" cy="800280"/>
                  <wp:effectExtent l="0" t="0" r="0" b="0"/>
                  <wp:docPr id="1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960" cy="800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3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F1" w:rsidRDefault="00921505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Times New Roman"/>
                <w:b w:val="0"/>
                <w:sz w:val="26"/>
                <w:szCs w:val="26"/>
              </w:rPr>
            </w:pPr>
            <w:r>
              <w:rPr>
                <w:rFonts w:ascii="Arial" w:hAnsi="Arial" w:cs="Times New Roman"/>
                <w:b w:val="0"/>
                <w:sz w:val="26"/>
                <w:szCs w:val="26"/>
              </w:rPr>
              <w:t>Comune di Capaccio Paestum</w:t>
            </w:r>
          </w:p>
          <w:p w:rsidR="007238F1" w:rsidRDefault="00921505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(Provincia di Salerno)</w:t>
            </w:r>
          </w:p>
          <w:p w:rsidR="007238F1" w:rsidRDefault="007238F1">
            <w:pPr>
              <w:pStyle w:val="Standard"/>
              <w:jc w:val="center"/>
              <w:rPr>
                <w:rFonts w:ascii="Arial" w:hAnsi="Arial"/>
              </w:rPr>
            </w:pPr>
          </w:p>
          <w:p w:rsidR="007238F1" w:rsidRDefault="00921505">
            <w:pPr>
              <w:pStyle w:val="Standard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Corso Vittorio Emanuele, 84047 Capaccio Paestum (SA)</w:t>
            </w:r>
          </w:p>
          <w:p w:rsidR="007238F1" w:rsidRDefault="007238F1">
            <w:pPr>
              <w:pStyle w:val="Standard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before="240" w:after="60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GB" w:bidi="ar-SA"/>
              </w:rPr>
            </w:pPr>
          </w:p>
        </w:tc>
      </w:tr>
    </w:tbl>
    <w:p w:rsidR="007238F1" w:rsidRDefault="007238F1">
      <w:pPr>
        <w:sectPr w:rsidR="007238F1">
          <w:pgSz w:w="16838" w:h="23811"/>
          <w:pgMar w:top="315" w:right="1134" w:bottom="67" w:left="1134" w:header="720" w:footer="720" w:gutter="0"/>
          <w:cols w:space="720"/>
        </w:sectPr>
      </w:pPr>
    </w:p>
    <w:p w:rsidR="007238F1" w:rsidRDefault="00921505">
      <w:pPr>
        <w:pStyle w:val="Standard"/>
        <w:spacing w:line="360" w:lineRule="auto"/>
        <w:jc w:val="center"/>
        <w:rPr>
          <w:sz w:val="56"/>
          <w:szCs w:val="56"/>
        </w:rPr>
      </w:pPr>
      <w:r>
        <w:rPr>
          <w:b/>
          <w:sz w:val="56"/>
          <w:szCs w:val="56"/>
          <w:u w:val="single"/>
        </w:rPr>
        <w:lastRenderedPageBreak/>
        <w:t>AVVISO</w:t>
      </w:r>
    </w:p>
    <w:p w:rsidR="007238F1" w:rsidRDefault="00921505">
      <w:pPr>
        <w:pStyle w:val="Standard"/>
        <w:spacing w:line="36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UTILIZZAZIONE AGRONOMICA DEGLI EFFLUENTI ZOOTECNICI</w:t>
      </w:r>
    </w:p>
    <w:p w:rsidR="007238F1" w:rsidRDefault="00921505">
      <w:pPr>
        <w:pStyle w:val="Standard"/>
        <w:spacing w:line="36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L.R. N. 14/2010 E </w:t>
      </w:r>
      <w:r>
        <w:rPr>
          <w:b/>
          <w:sz w:val="44"/>
          <w:szCs w:val="44"/>
          <w:u w:val="single"/>
        </w:rPr>
        <w:t>DGR N. 771/2012</w:t>
      </w:r>
    </w:p>
    <w:p w:rsidR="007238F1" w:rsidRDefault="007238F1">
      <w:pPr>
        <w:pStyle w:val="Textbody"/>
        <w:jc w:val="both"/>
        <w:rPr>
          <w:b/>
          <w:bCs/>
        </w:rPr>
      </w:pPr>
    </w:p>
    <w:p w:rsidR="007238F1" w:rsidRDefault="00921505">
      <w:pPr>
        <w:pStyle w:val="Textbody"/>
        <w:widowControl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LA GIUNTA REGIONALE DELLA CAMPANIA, SU ISTANZA AVANZATA DALL'AMMINISTRAZIONE DEL COMUNE DI CAPACCIO PAESTUM (Delibera di G.C</w:t>
      </w:r>
      <w:r>
        <w:rPr>
          <w:rFonts w:eastAsia="Times New Roman" w:cs="Times New Roman"/>
          <w:sz w:val="32"/>
          <w:szCs w:val="32"/>
          <w:lang w:val="it-IT" w:eastAsia="zh-CN" w:bidi="ar-SA"/>
        </w:rPr>
        <w:t xml:space="preserve">. </w:t>
      </w:r>
      <w:r>
        <w:rPr>
          <w:rFonts w:eastAsia="Times New Roman" w:cs="Times New Roman"/>
          <w:iCs/>
          <w:sz w:val="32"/>
          <w:szCs w:val="32"/>
          <w:lang w:val="it-IT" w:eastAsia="zh-CN" w:bidi="ar-SA"/>
        </w:rPr>
        <w:t>n. 603 del 06 Dicembre 2018</w:t>
      </w:r>
      <w:r>
        <w:rPr>
          <w:rFonts w:eastAsia="Times New Roman" w:cs="Times New Roman"/>
          <w:sz w:val="32"/>
          <w:szCs w:val="32"/>
          <w:lang w:val="it-IT" w:eastAsia="zh-CN" w:bidi="ar-SA"/>
        </w:rPr>
        <w:t>), CON APPOSITO DECRETO DIRIGENZIALE N. 213 DEL 27/12/2018, HA APPROVAT</w:t>
      </w:r>
      <w:r>
        <w:rPr>
          <w:sz w:val="32"/>
          <w:szCs w:val="32"/>
        </w:rPr>
        <w:t xml:space="preserve">O LA DEROGA </w:t>
      </w:r>
      <w:r>
        <w:rPr>
          <w:sz w:val="32"/>
          <w:szCs w:val="32"/>
        </w:rPr>
        <w:t xml:space="preserve">TEMPORANEA DI GIORNI 7 (SETTE) AL PERIODO DI DIVIETO AUTUNNO-INVERNALE DI SPANDIMENTO DEI REFLUI ZOOTECNICI E LA CONSEGUENTE </w:t>
      </w:r>
      <w:r>
        <w:rPr>
          <w:b/>
          <w:bCs/>
          <w:sz w:val="32"/>
          <w:szCs w:val="32"/>
        </w:rPr>
        <w:t>AUTORIZZAZIONE ALLE IMPRESE AGRICOLE TITOLARI DI COMUNICAZIONE PER L'UTILIZZAZIONE AGRONOMICA DEI REFLUI ZOOTECNCICI IN CORSO DI VA</w:t>
      </w:r>
      <w:r>
        <w:rPr>
          <w:b/>
          <w:bCs/>
          <w:sz w:val="32"/>
          <w:szCs w:val="32"/>
        </w:rPr>
        <w:t>LIDITA',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>DALLA DATA</w:t>
      </w:r>
    </w:p>
    <w:p w:rsidR="007238F1" w:rsidRDefault="00921505">
      <w:pPr>
        <w:pStyle w:val="Textbody"/>
        <w:widowControl/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28 DICEMBRE 2018    FINO   AL 03 GENNAIO 2019.</w:t>
      </w:r>
    </w:p>
    <w:p w:rsidR="007238F1" w:rsidRDefault="00921505">
      <w:pPr>
        <w:pStyle w:val="Textbody"/>
        <w:spacing w:after="6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FERMO RESTANDO IL RISPETTO DI TUTTE LE PRESCRIZIONI PREVISTE DALLA DISCIPLINA TECNICA REGIONALE, PER L'EFFETTUAZIONE DELLE CITATE OPERAZIONI DI DISTRIBUZIONE DEI MATERIALI, OCCORRERA' </w:t>
      </w:r>
      <w:r>
        <w:rPr>
          <w:sz w:val="32"/>
          <w:szCs w:val="32"/>
        </w:rPr>
        <w:t>RISP</w:t>
      </w:r>
      <w:r>
        <w:rPr>
          <w:sz w:val="32"/>
          <w:szCs w:val="32"/>
        </w:rPr>
        <w:t>ETTARE LE SEGUENTI CONDIZIONI:</w:t>
      </w:r>
    </w:p>
    <w:p w:rsidR="007238F1" w:rsidRDefault="00921505">
      <w:pPr>
        <w:pStyle w:val="Textbody"/>
        <w:numPr>
          <w:ilvl w:val="0"/>
          <w:numId w:val="3"/>
        </w:numPr>
        <w:tabs>
          <w:tab w:val="left" w:pos="0"/>
        </w:tabs>
        <w:spacing w:after="170" w:line="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LE AZIENDE AGRICOLE SIANO IN POSSESSO DI REGOLARE E VIGENTE COMUNICAZIONE DI UTILIZZAZIONE AGRONOMICA DEGLI EFFLEUNTI DI ALLEVAMENTO, AI SENSI DELL'ART. 20 DELLA DISCIPLINA TECNICA REGIONALE DI CUI ALLA DGR 771/2012;</w:t>
      </w:r>
    </w:p>
    <w:p w:rsidR="007238F1" w:rsidRDefault="00921505">
      <w:pPr>
        <w:pStyle w:val="Textbody"/>
        <w:numPr>
          <w:ilvl w:val="0"/>
          <w:numId w:val="3"/>
        </w:numPr>
        <w:tabs>
          <w:tab w:val="left" w:pos="0"/>
        </w:tabs>
        <w:spacing w:after="170" w:line="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IL VOLUM</w:t>
      </w:r>
      <w:r>
        <w:rPr>
          <w:sz w:val="32"/>
          <w:szCs w:val="32"/>
        </w:rPr>
        <w:t xml:space="preserve">E MASSIMO DI REFLUI CHE E POSSIBILE UTILIZZARE NEL PERIODO DI SOSPENSIONE DEL DIVIETO </w:t>
      </w:r>
      <w:r>
        <w:rPr>
          <w:b/>
          <w:bCs/>
          <w:sz w:val="32"/>
          <w:szCs w:val="32"/>
        </w:rPr>
        <w:t>NON SUPERI</w:t>
      </w:r>
      <w:r>
        <w:rPr>
          <w:sz w:val="32"/>
          <w:szCs w:val="32"/>
        </w:rPr>
        <w:t xml:space="preserve"> I </w:t>
      </w:r>
      <w:r>
        <w:rPr>
          <w:b/>
          <w:bCs/>
          <w:sz w:val="32"/>
          <w:szCs w:val="32"/>
        </w:rPr>
        <w:t>30 MC A ETTARO</w:t>
      </w:r>
      <w:r>
        <w:rPr>
          <w:sz w:val="32"/>
          <w:szCs w:val="32"/>
        </w:rPr>
        <w:t xml:space="preserve"> E COMUNQUE GLI APPORTI DI NAZOTO </w:t>
      </w:r>
      <w:r>
        <w:rPr>
          <w:b/>
          <w:bCs/>
          <w:sz w:val="32"/>
          <w:szCs w:val="32"/>
        </w:rPr>
        <w:t>NON SIANO SUPERIORI A 150 KG DI AZOTO A ETTARO</w:t>
      </w:r>
      <w:r>
        <w:rPr>
          <w:sz w:val="32"/>
          <w:szCs w:val="32"/>
        </w:rPr>
        <w:t>, DESUMIBILE DALLA COMUNICAZIONE DI CUI AL PRECEDENTE PUNTO 1),</w:t>
      </w:r>
      <w:r>
        <w:rPr>
          <w:sz w:val="32"/>
          <w:szCs w:val="32"/>
        </w:rPr>
        <w:t xml:space="preserve"> FERMO RESTANDO IL RISPETTO DELLA QUANTITA' MASSIMA DI AZOTO PER ETTARO ALL'ANNO DISTRIBUIBILE IN ZONA NON VULNERABILE AI NITRATI DI ORIGINA AGRICOLA;</w:t>
      </w:r>
    </w:p>
    <w:p w:rsidR="007238F1" w:rsidRDefault="00921505">
      <w:pPr>
        <w:pStyle w:val="Textbody"/>
        <w:numPr>
          <w:ilvl w:val="0"/>
          <w:numId w:val="3"/>
        </w:numPr>
        <w:tabs>
          <w:tab w:val="left" w:pos="0"/>
        </w:tabs>
        <w:spacing w:after="170" w:line="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INTERESSINO ESCLUSIVAMENTE PARTICELLE INDICATE NELLA COMUNICAZIONE DI UTILIZZAZIONE AGRONOMICA DI CUI PUN</w:t>
      </w:r>
      <w:r>
        <w:rPr>
          <w:sz w:val="32"/>
          <w:szCs w:val="32"/>
        </w:rPr>
        <w:t>TO 1), CON COLTURE  CEREALICOLE E/O FORAGGERE IN ATTO E TERRENI DESTINATI, ENTRO I SUCCESSIVI 20-30 GIORNI, ALLA SEMINA;</w:t>
      </w:r>
    </w:p>
    <w:p w:rsidR="007238F1" w:rsidRDefault="00921505">
      <w:pPr>
        <w:pStyle w:val="Textbody"/>
        <w:numPr>
          <w:ilvl w:val="0"/>
          <w:numId w:val="3"/>
        </w:numPr>
        <w:tabs>
          <w:tab w:val="left" w:pos="0"/>
        </w:tabs>
        <w:spacing w:after="170" w:line="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SIANO PUNTULAMNETE REGISTRATI NELL'APPOSITO </w:t>
      </w:r>
      <w:r>
        <w:rPr>
          <w:i/>
          <w:iCs/>
          <w:sz w:val="32"/>
          <w:szCs w:val="32"/>
        </w:rPr>
        <w:t>“REGISTRO DELLE UTILIZZAZIONI”</w:t>
      </w:r>
      <w:r>
        <w:rPr>
          <w:sz w:val="32"/>
          <w:szCs w:val="32"/>
        </w:rPr>
        <w:t xml:space="preserve"> DI CUI ALL'ART. 22 DELLA DISCIPLINA TECNICA REGIONALE DI CUI</w:t>
      </w:r>
      <w:r>
        <w:rPr>
          <w:sz w:val="32"/>
          <w:szCs w:val="32"/>
        </w:rPr>
        <w:t xml:space="preserve"> ALLA DGR 771/2012;</w:t>
      </w:r>
    </w:p>
    <w:p w:rsidR="007238F1" w:rsidRDefault="00921505">
      <w:pPr>
        <w:pStyle w:val="Textbody"/>
        <w:numPr>
          <w:ilvl w:val="0"/>
          <w:numId w:val="3"/>
        </w:numPr>
        <w:tabs>
          <w:tab w:val="left" w:pos="0"/>
        </w:tabs>
        <w:spacing w:after="170" w:line="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SIANO SOSPESI IN CASO DI PRECIPITAZIONI METEORICHE SOPRAVVENUTE E AVVENGANO ESCLUSIVAMENTE IN CONDIZIONI METEOROLOGICHE FAVOREVOLI, IN TERRENI NON SATURI DI ACQUA, O GELATI O INNEVATI;</w:t>
      </w:r>
    </w:p>
    <w:p w:rsidR="007238F1" w:rsidRDefault="00921505">
      <w:pPr>
        <w:pStyle w:val="Textbody"/>
        <w:numPr>
          <w:ilvl w:val="0"/>
          <w:numId w:val="3"/>
        </w:numPr>
        <w:tabs>
          <w:tab w:val="left" w:pos="0"/>
        </w:tabs>
        <w:spacing w:after="170" w:line="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SIANO EFFETTUATI NEL RISPETTO DI QUANTO ALTRO STABI</w:t>
      </w:r>
      <w:r>
        <w:rPr>
          <w:sz w:val="32"/>
          <w:szCs w:val="32"/>
        </w:rPr>
        <w:t>LITO DALLA DISCIPLINA TECNICA REGIONALE DI CUI ALLA DGR N. 771/2012 E SENZA PROVOCARE LA DIFFUSIONE DI AEROSOLI, ED EVITANDO OGNI FENOMENO DI RUSCELLAMENTO ALL'ATTO DELLA SOMMINISTRAZIONE MEDIANTE ADOZIONE DI ADEGUATE TECNICHE DI DISTRIBUZIONE;</w:t>
      </w:r>
    </w:p>
    <w:p w:rsidR="007238F1" w:rsidRDefault="00921505">
      <w:pPr>
        <w:pStyle w:val="Textbody"/>
        <w:numPr>
          <w:ilvl w:val="0"/>
          <w:numId w:val="3"/>
        </w:numPr>
        <w:tabs>
          <w:tab w:val="left" w:pos="0"/>
        </w:tabs>
        <w:spacing w:after="170" w:line="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IL SOGGETTO</w:t>
      </w:r>
      <w:r>
        <w:rPr>
          <w:sz w:val="32"/>
          <w:szCs w:val="32"/>
        </w:rPr>
        <w:t xml:space="preserve"> CHE EFFETTUA IL TRASPORTO DEGLI EFFLUENTI DI ALLEVAMENTO AL DI FUORI DELLA VIABILITA' AZIENDALE, ABBIA A BORDO DEL MEZZO IL DOCUMENTO DI TRASPORTO DI CUI ALL'ART. 23 DELLA DISCIPLINA TECNICA REGIONALE DI CUI ALLA DGR 771/2012;</w:t>
      </w:r>
    </w:p>
    <w:p w:rsidR="007238F1" w:rsidRDefault="00921505">
      <w:pPr>
        <w:pStyle w:val="Textbody"/>
        <w:spacing w:after="0" w:line="200" w:lineRule="atLeast"/>
        <w:jc w:val="both"/>
      </w:pPr>
      <w:r>
        <w:t>Capaccio Paestum 28 dicembre</w:t>
      </w:r>
      <w:r>
        <w:t xml:space="preserve"> 2018                                                                                                             F.to Il Responsabile dell'AREA I</w:t>
      </w:r>
    </w:p>
    <w:p w:rsidR="007238F1" w:rsidRDefault="00921505">
      <w:pPr>
        <w:pStyle w:val="Textbody"/>
        <w:spacing w:after="0" w:line="200" w:lineRule="atLeast"/>
        <w:jc w:val="both"/>
      </w:pPr>
      <w:r>
        <w:t xml:space="preserve">                                                                </w:t>
      </w:r>
      <w:r>
        <w:t xml:space="preserve">                                                                                                                 dott. Antonio Rinaldi</w:t>
      </w:r>
    </w:p>
    <w:sectPr w:rsidR="007238F1" w:rsidSect="007238F1">
      <w:type w:val="continuous"/>
      <w:pgSz w:w="16838" w:h="23811"/>
      <w:pgMar w:top="315" w:right="1134" w:bottom="67" w:left="1134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505" w:rsidRDefault="00921505" w:rsidP="007238F1">
      <w:r>
        <w:separator/>
      </w:r>
    </w:p>
  </w:endnote>
  <w:endnote w:type="continuationSeparator" w:id="0">
    <w:p w:rsidR="00921505" w:rsidRDefault="00921505" w:rsidP="00723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505" w:rsidRDefault="00921505" w:rsidP="007238F1">
      <w:r w:rsidRPr="007238F1">
        <w:rPr>
          <w:color w:val="000000"/>
        </w:rPr>
        <w:separator/>
      </w:r>
    </w:p>
  </w:footnote>
  <w:footnote w:type="continuationSeparator" w:id="0">
    <w:p w:rsidR="00921505" w:rsidRDefault="00921505" w:rsidP="00723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34824"/>
    <w:multiLevelType w:val="multilevel"/>
    <w:tmpl w:val="B5D4392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8525A67"/>
    <w:multiLevelType w:val="multilevel"/>
    <w:tmpl w:val="B1245C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8F1"/>
    <w:rsid w:val="00287CAF"/>
    <w:rsid w:val="007238F1"/>
    <w:rsid w:val="0092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238F1"/>
  </w:style>
  <w:style w:type="paragraph" w:customStyle="1" w:styleId="Heading">
    <w:name w:val="Heading"/>
    <w:basedOn w:val="Standard"/>
    <w:next w:val="Textbody"/>
    <w:rsid w:val="007238F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238F1"/>
    <w:pPr>
      <w:spacing w:after="120"/>
    </w:pPr>
  </w:style>
  <w:style w:type="paragraph" w:styleId="Elenco">
    <w:name w:val="List"/>
    <w:basedOn w:val="Textbody"/>
    <w:rsid w:val="007238F1"/>
  </w:style>
  <w:style w:type="paragraph" w:customStyle="1" w:styleId="Caption">
    <w:name w:val="Caption"/>
    <w:basedOn w:val="Standard"/>
    <w:rsid w:val="007238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38F1"/>
    <w:pPr>
      <w:suppressLineNumbers/>
    </w:pPr>
  </w:style>
  <w:style w:type="paragraph" w:customStyle="1" w:styleId="Heading1">
    <w:name w:val="Heading 1"/>
    <w:basedOn w:val="Standard"/>
    <w:next w:val="Standard"/>
    <w:rsid w:val="007238F1"/>
    <w:pPr>
      <w:keepNext/>
      <w:spacing w:line="479" w:lineRule="atLeast"/>
      <w:jc w:val="center"/>
      <w:outlineLvl w:val="0"/>
    </w:pPr>
    <w:rPr>
      <w:rFonts w:ascii="Courier New" w:hAnsi="Courier New"/>
      <w:b/>
      <w:sz w:val="28"/>
    </w:rPr>
  </w:style>
  <w:style w:type="paragraph" w:customStyle="1" w:styleId="TableContents">
    <w:name w:val="Table Contents"/>
    <w:basedOn w:val="Standard"/>
    <w:rsid w:val="007238F1"/>
    <w:pPr>
      <w:suppressLineNumbers/>
    </w:pPr>
  </w:style>
  <w:style w:type="character" w:styleId="Enfasicorsivo">
    <w:name w:val="Emphasis"/>
    <w:rsid w:val="007238F1"/>
    <w:rPr>
      <w:i/>
      <w:iCs/>
    </w:rPr>
  </w:style>
  <w:style w:type="character" w:customStyle="1" w:styleId="StrongEmphasis">
    <w:name w:val="Strong Emphasis"/>
    <w:rsid w:val="007238F1"/>
    <w:rPr>
      <w:b/>
      <w:bCs/>
    </w:rPr>
  </w:style>
  <w:style w:type="character" w:customStyle="1" w:styleId="BulletSymbols">
    <w:name w:val="Bullet Symbols"/>
    <w:rsid w:val="007238F1"/>
    <w:rPr>
      <w:rFonts w:ascii="OpenSymbol" w:eastAsia="OpenSymbol" w:hAnsi="OpenSymbol" w:cs="OpenSymbol"/>
    </w:rPr>
  </w:style>
  <w:style w:type="character" w:customStyle="1" w:styleId="Internetlink">
    <w:name w:val="Internet link"/>
    <w:rsid w:val="007238F1"/>
    <w:rPr>
      <w:color w:val="000080"/>
      <w:u w:val="single"/>
    </w:rPr>
  </w:style>
  <w:style w:type="character" w:customStyle="1" w:styleId="NumberingSymbols">
    <w:name w:val="Numbering Symbols"/>
    <w:rsid w:val="007238F1"/>
  </w:style>
  <w:style w:type="numbering" w:customStyle="1" w:styleId="WW8Num2">
    <w:name w:val="WW8Num2"/>
    <w:basedOn w:val="Nessunelenco"/>
    <w:rsid w:val="007238F1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CA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CAF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 Benetti</dc:creator>
  <cp:lastModifiedBy>ABenetti</cp:lastModifiedBy>
  <cp:revision>2</cp:revision>
  <cp:lastPrinted>2017-12-20T11:53:00Z</cp:lastPrinted>
  <dcterms:created xsi:type="dcterms:W3CDTF">2018-12-28T10:33:00Z</dcterms:created>
  <dcterms:modified xsi:type="dcterms:W3CDTF">2018-12-28T10:33:00Z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