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0CA8" w:rsidRPr="004C0CA8" w:rsidRDefault="004C0CA8" w:rsidP="007A2F29">
      <w:pPr>
        <w:jc w:val="right"/>
        <w:rPr>
          <w:rFonts w:asciiTheme="majorHAnsi" w:hAnsiTheme="majorHAnsi"/>
          <w:b/>
          <w:i/>
        </w:rPr>
      </w:pPr>
    </w:p>
    <w:p w:rsidR="00685C74" w:rsidRPr="00D46539" w:rsidRDefault="007A2F29" w:rsidP="007A2F29">
      <w:pPr>
        <w:jc w:val="both"/>
        <w:rPr>
          <w:i/>
        </w:rPr>
      </w:pPr>
      <w:r>
        <w:t xml:space="preserve"> </w:t>
      </w:r>
    </w:p>
    <w:p w:rsidR="007A2F29" w:rsidRDefault="007A2F29" w:rsidP="007A2F29">
      <w:pPr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</w:p>
    <w:p w:rsidR="007A2F29" w:rsidRPr="007A2F29" w:rsidRDefault="007A2F29" w:rsidP="007A2F29">
      <w:pPr>
        <w:jc w:val="center"/>
        <w:rPr>
          <w:rFonts w:ascii="Arial" w:hAnsi="Arial" w:cs="Arial"/>
          <w:b/>
          <w:color w:val="C00822"/>
          <w:sz w:val="36"/>
          <w:szCs w:val="36"/>
          <w:shd w:val="clear" w:color="auto" w:fill="FFFFFF"/>
        </w:rPr>
      </w:pPr>
    </w:p>
    <w:p w:rsidR="007A2F29" w:rsidRPr="007A2F29" w:rsidRDefault="007A2F29" w:rsidP="007A2F29">
      <w:pPr>
        <w:jc w:val="center"/>
        <w:rPr>
          <w:rFonts w:asciiTheme="majorHAnsi" w:hAnsiTheme="majorHAnsi" w:cs="Arial"/>
          <w:b/>
          <w:color w:val="C00822"/>
          <w:sz w:val="28"/>
          <w:szCs w:val="28"/>
          <w:shd w:val="clear" w:color="auto" w:fill="FFFFFF"/>
        </w:rPr>
      </w:pPr>
      <w:r w:rsidRPr="007A2F29">
        <w:rPr>
          <w:rFonts w:ascii="Arial" w:hAnsi="Arial" w:cs="Arial"/>
          <w:b/>
          <w:color w:val="C00822"/>
          <w:sz w:val="36"/>
          <w:szCs w:val="36"/>
          <w:shd w:val="clear" w:color="auto" w:fill="FFFFFF"/>
        </w:rPr>
        <w:t>Una città che legge</w:t>
      </w:r>
    </w:p>
    <w:p w:rsidR="007A2F29" w:rsidRPr="007A2F29" w:rsidRDefault="007A2F29" w:rsidP="007A2F29">
      <w:pPr>
        <w:jc w:val="center"/>
        <w:rPr>
          <w:rFonts w:asciiTheme="majorHAnsi" w:hAnsiTheme="majorHAnsi" w:cs="Arial"/>
          <w:b/>
          <w:color w:val="AE1A2F"/>
          <w:sz w:val="28"/>
          <w:szCs w:val="28"/>
          <w:shd w:val="clear" w:color="auto" w:fill="FFFFFF"/>
        </w:rPr>
      </w:pPr>
      <w:r w:rsidRPr="007A2F29">
        <w:rPr>
          <w:rFonts w:asciiTheme="majorHAnsi" w:hAnsiTheme="majorHAnsi" w:cs="Arial"/>
          <w:b/>
          <w:color w:val="AE1A2F"/>
          <w:sz w:val="28"/>
          <w:szCs w:val="28"/>
          <w:shd w:val="clear" w:color="auto" w:fill="FFFFFF"/>
        </w:rPr>
        <w:t>Il Patto per la lettura di Capaccio Paestum</w:t>
      </w:r>
    </w:p>
    <w:p w:rsidR="007A2F29" w:rsidRPr="007A2F29" w:rsidRDefault="007A2F29" w:rsidP="007A2F29">
      <w:pPr>
        <w:jc w:val="both"/>
        <w:rPr>
          <w:rFonts w:asciiTheme="majorHAnsi" w:hAnsiTheme="majorHAnsi" w:cs="Arial"/>
          <w:color w:val="AE1A2F"/>
          <w:sz w:val="28"/>
          <w:szCs w:val="28"/>
          <w:shd w:val="clear" w:color="auto" w:fill="FFFFFF"/>
        </w:rPr>
      </w:pPr>
      <w:r w:rsidRPr="007A2F29">
        <w:rPr>
          <w:rFonts w:asciiTheme="majorHAnsi" w:hAnsiTheme="majorHAnsi" w:cs="Arial"/>
          <w:i/>
          <w:color w:val="AE1A2F"/>
          <w:sz w:val="28"/>
          <w:szCs w:val="28"/>
          <w:shd w:val="clear" w:color="auto" w:fill="FFFFFF"/>
        </w:rPr>
        <w:t xml:space="preserve"> </w:t>
      </w:r>
    </w:p>
    <w:p w:rsidR="007A2F29" w:rsidRPr="007A2F29" w:rsidRDefault="007A2F29" w:rsidP="007A2F29">
      <w:pPr>
        <w:jc w:val="center"/>
        <w:rPr>
          <w:rFonts w:asciiTheme="majorHAnsi" w:hAnsiTheme="majorHAnsi" w:cs="Arial"/>
          <w:b/>
          <w:color w:val="565656"/>
          <w:sz w:val="28"/>
          <w:szCs w:val="28"/>
          <w:shd w:val="clear" w:color="auto" w:fill="FFFFFF"/>
        </w:rPr>
      </w:pPr>
    </w:p>
    <w:p w:rsidR="007A2F29" w:rsidRPr="007A2F29" w:rsidRDefault="007A2F29" w:rsidP="007A2F29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7A2F29" w:rsidRPr="007A2F29" w:rsidRDefault="007A2F29" w:rsidP="007A2F29">
      <w:pPr>
        <w:jc w:val="center"/>
        <w:rPr>
          <w:rFonts w:asciiTheme="majorHAnsi" w:hAnsiTheme="majorHAnsi"/>
          <w:b/>
          <w:sz w:val="28"/>
          <w:szCs w:val="28"/>
        </w:rPr>
      </w:pPr>
      <w:r w:rsidRPr="007A2F29">
        <w:rPr>
          <w:rFonts w:asciiTheme="majorHAnsi" w:hAnsiTheme="majorHAnsi"/>
          <w:b/>
          <w:sz w:val="28"/>
          <w:szCs w:val="28"/>
        </w:rPr>
        <w:t xml:space="preserve">I Patti per la lettura sono strumenti di governance riconosciuti dalla legge 15/2020 per la promozione e il sostegno della lettura, quali principali mezzi operativi per l'attuazione del Piano nazionale d'azione per la promozione della lettura. </w:t>
      </w:r>
    </w:p>
    <w:p w:rsidR="007A2F29" w:rsidRPr="007A2F29" w:rsidRDefault="007A2F29" w:rsidP="007A2F29">
      <w:pPr>
        <w:jc w:val="center"/>
        <w:rPr>
          <w:rFonts w:asciiTheme="majorHAnsi" w:hAnsiTheme="majorHAnsi"/>
          <w:b/>
          <w:sz w:val="28"/>
          <w:szCs w:val="28"/>
        </w:rPr>
      </w:pPr>
      <w:r w:rsidRPr="007A2F29">
        <w:rPr>
          <w:rFonts w:asciiTheme="majorHAnsi" w:hAnsiTheme="majorHAnsi"/>
          <w:b/>
          <w:sz w:val="28"/>
          <w:szCs w:val="28"/>
        </w:rPr>
        <w:t>Sono promossi dal Centro per il libro e la lettura nell'ambito del progetto “Città che legge”.</w:t>
      </w:r>
    </w:p>
    <w:p w:rsidR="007A2F29" w:rsidRPr="007A2F29" w:rsidRDefault="007A2F29" w:rsidP="007A2F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7A2F29" w:rsidRPr="00103716" w:rsidRDefault="007A2F29" w:rsidP="007A2F29">
      <w:pPr>
        <w:jc w:val="center"/>
        <w:rPr>
          <w:rFonts w:asciiTheme="majorHAnsi" w:hAnsiTheme="majorHAnsi" w:cstheme="minorBidi"/>
          <w:i/>
          <w:color w:val="auto"/>
          <w:sz w:val="28"/>
          <w:szCs w:val="28"/>
        </w:rPr>
      </w:pPr>
      <w:r w:rsidRPr="00103716">
        <w:rPr>
          <w:rFonts w:asciiTheme="majorHAnsi" w:hAnsiTheme="majorHAnsi"/>
          <w:i/>
          <w:sz w:val="28"/>
          <w:szCs w:val="28"/>
        </w:rPr>
        <w:t>(dal “Manifesto dei Patti per la Lettura”, Cepell)</w:t>
      </w:r>
    </w:p>
    <w:p w:rsidR="007A2F29" w:rsidRPr="007A2F29" w:rsidRDefault="002F1130" w:rsidP="007A2F2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bdr w:val="none" w:sz="0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164465</wp:posOffset>
            </wp:positionV>
            <wp:extent cx="1005840" cy="1352550"/>
            <wp:effectExtent l="19050" t="0" r="3810" b="0"/>
            <wp:wrapSquare wrapText="bothSides"/>
            <wp:docPr id="3" name="Immagine 1" descr="C:\Users\Turismo\Downloads\CCP_loghi_cultura (4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ismo\Downloads\CCP_loghi_cultura (4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2F1130" w:rsidP="007A2F2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bdr w:val="none" w:sz="0" w:space="0" w:color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8191500</wp:posOffset>
            </wp:positionV>
            <wp:extent cx="2486025" cy="1104900"/>
            <wp:effectExtent l="19050" t="0" r="9525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7A2F29" w:rsidP="007A2F29">
      <w:pPr>
        <w:jc w:val="both"/>
        <w:rPr>
          <w:rFonts w:asciiTheme="majorHAnsi" w:hAnsiTheme="majorHAnsi"/>
          <w:sz w:val="28"/>
          <w:szCs w:val="28"/>
        </w:rPr>
      </w:pPr>
    </w:p>
    <w:p w:rsidR="007A2F29" w:rsidRPr="007A2F29" w:rsidRDefault="007A2F29" w:rsidP="007A2F29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ajorHAnsi" w:hAnsiTheme="majorHAnsi" w:cs="Helvetica"/>
          <w:color w:val="1C2024"/>
        </w:rPr>
      </w:pPr>
      <w:r w:rsidRPr="007A2F29">
        <w:rPr>
          <w:rFonts w:asciiTheme="majorHAnsi" w:hAnsiTheme="majorHAnsi" w:cs="Helvetica"/>
          <w:color w:val="1C2024"/>
        </w:rPr>
        <w:t xml:space="preserve">Il </w:t>
      </w:r>
      <w:r w:rsidRPr="007A2F29">
        <w:rPr>
          <w:rFonts w:asciiTheme="majorHAnsi" w:hAnsiTheme="majorHAnsi" w:cs="Helvetica"/>
          <w:b/>
          <w:color w:val="1C2024"/>
          <w:sz w:val="28"/>
          <w:szCs w:val="28"/>
        </w:rPr>
        <w:t>Comune di Capaccio Paestum</w:t>
      </w:r>
      <w:r w:rsidRPr="007A2F29">
        <w:rPr>
          <w:rFonts w:asciiTheme="majorHAnsi" w:hAnsiTheme="majorHAnsi" w:cs="Helvetica"/>
          <w:color w:val="1C2024"/>
        </w:rPr>
        <w:t xml:space="preserve"> ha ottenuto da parte del Centro per il libro e per la lettura (Cepell), la </w:t>
      </w:r>
      <w:r w:rsidRPr="007A2F29">
        <w:rPr>
          <w:rStyle w:val="Enfasigrassetto"/>
          <w:rFonts w:asciiTheme="majorHAnsi" w:hAnsiTheme="majorHAnsi" w:cs="Helvetica"/>
          <w:color w:val="1C2024"/>
        </w:rPr>
        <w:t>qualifica di “Città che legge”</w:t>
      </w:r>
      <w:r>
        <w:rPr>
          <w:rFonts w:asciiTheme="majorHAnsi" w:hAnsiTheme="majorHAnsi" w:cs="Helvetica"/>
          <w:color w:val="1C2024"/>
        </w:rPr>
        <w:t xml:space="preserve">, </w:t>
      </w:r>
      <w:r w:rsidRPr="007A2F29">
        <w:rPr>
          <w:rFonts w:asciiTheme="majorHAnsi" w:hAnsiTheme="majorHAnsi" w:cs="Helvetica"/>
          <w:color w:val="1C2024"/>
        </w:rPr>
        <w:t>un riconoscimento che,  concesso d’intesa con l’Associazione Nazionale Comuni Italiani (ANCI), viene attribuito a quelle amministrazioni comunali impegnate</w:t>
      </w:r>
      <w:r w:rsidRPr="007A2F29">
        <w:rPr>
          <w:rStyle w:val="Enfasigrassetto"/>
          <w:rFonts w:asciiTheme="majorHAnsi" w:hAnsiTheme="majorHAnsi" w:cs="Helvetica"/>
          <w:color w:val="1C2024"/>
        </w:rPr>
        <w:t> a svolgere con continuità sul proprio territorio politiche pubbliche di promozione della lettura.</w:t>
      </w:r>
    </w:p>
    <w:p w:rsidR="007A2F29" w:rsidRDefault="007A2F29" w:rsidP="007A2F29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ajorHAnsi" w:hAnsiTheme="majorHAnsi" w:cs="Helvetica"/>
          <w:i/>
          <w:color w:val="1C2024"/>
          <w:sz w:val="28"/>
          <w:szCs w:val="28"/>
        </w:rPr>
      </w:pPr>
      <w:r w:rsidRPr="007A2F29">
        <w:rPr>
          <w:rFonts w:asciiTheme="majorHAnsi" w:hAnsiTheme="majorHAnsi" w:cs="Helvetica"/>
          <w:color w:val="1C2024"/>
        </w:rPr>
        <w:t>Una</w:t>
      </w:r>
      <w:r>
        <w:rPr>
          <w:rFonts w:asciiTheme="majorHAnsi" w:hAnsiTheme="majorHAnsi" w:cs="Helvetica"/>
          <w:color w:val="1C2024"/>
        </w:rPr>
        <w:t xml:space="preserve"> “</w:t>
      </w:r>
      <w:r w:rsidRPr="007A2F29">
        <w:rPr>
          <w:rStyle w:val="Enfasicorsivo"/>
          <w:rFonts w:asciiTheme="majorHAnsi" w:hAnsiTheme="majorHAnsi" w:cs="Helvetica"/>
          <w:b/>
          <w:color w:val="1C2024"/>
          <w:sz w:val="28"/>
          <w:szCs w:val="28"/>
        </w:rPr>
        <w:t>Città che legge</w:t>
      </w:r>
      <w:r w:rsidRPr="007A2F29">
        <w:rPr>
          <w:rStyle w:val="Enfasicorsivo"/>
          <w:rFonts w:asciiTheme="majorHAnsi" w:hAnsiTheme="majorHAnsi" w:cs="Helvetica"/>
          <w:color w:val="1C2024"/>
        </w:rPr>
        <w:t>”</w:t>
      </w:r>
      <w:r w:rsidRPr="007A2F29">
        <w:rPr>
          <w:rFonts w:asciiTheme="majorHAnsi" w:hAnsiTheme="majorHAnsi" w:cs="Helvetica"/>
          <w:color w:val="1C2024"/>
        </w:rPr>
        <w:t> garantisce ai cittadini un accesso libero ai libri e alla lettura ed un luogo (fisico ma anche virtuale) nel quale entrare in contatto con il patrimonio bibliografico e con la comunità dei lettori.</w:t>
      </w:r>
      <w:r>
        <w:rPr>
          <w:rFonts w:asciiTheme="majorHAnsi" w:hAnsiTheme="majorHAnsi" w:cs="Helvetica"/>
          <w:color w:val="1C2024"/>
        </w:rPr>
        <w:t xml:space="preserve"> </w:t>
      </w:r>
      <w:r w:rsidRPr="007A2F29">
        <w:rPr>
          <w:rFonts w:asciiTheme="majorHAnsi" w:hAnsiTheme="majorHAnsi" w:cs="Helvetica"/>
          <w:color w:val="1C2024"/>
        </w:rPr>
        <w:t>Partecipa, inoltre, a</w:t>
      </w:r>
      <w:r>
        <w:rPr>
          <w:rFonts w:asciiTheme="majorHAnsi" w:hAnsiTheme="majorHAnsi" w:cs="Helvetica"/>
          <w:color w:val="1C2024"/>
        </w:rPr>
        <w:t>d</w:t>
      </w:r>
      <w:r w:rsidRPr="007A2F29">
        <w:rPr>
          <w:rFonts w:asciiTheme="majorHAnsi" w:hAnsiTheme="majorHAnsi" w:cs="Helvetica"/>
          <w:color w:val="1C2024"/>
        </w:rPr>
        <w:t xml:space="preserve"> iniziative congiunte di valorizzazione della lettura sul territorio ma, soprattutto, si impegna a promuovere la lettura con continuità anche e soprattutto attraverso la </w:t>
      </w:r>
      <w:r w:rsidRPr="007A2F29">
        <w:rPr>
          <w:rStyle w:val="Enfasigrassetto"/>
          <w:rFonts w:asciiTheme="majorHAnsi" w:hAnsiTheme="majorHAnsi" w:cs="Helvetica"/>
          <w:color w:val="1C2024"/>
        </w:rPr>
        <w:t>stipula di un “</w:t>
      </w:r>
      <w:r w:rsidRPr="007A2F29">
        <w:rPr>
          <w:rStyle w:val="Enfasigrassetto"/>
          <w:rFonts w:asciiTheme="majorHAnsi" w:hAnsiTheme="majorHAnsi" w:cs="Helvetica"/>
          <w:i/>
          <w:color w:val="1C2024"/>
          <w:sz w:val="28"/>
          <w:szCs w:val="28"/>
        </w:rPr>
        <w:t>Patto locale per la lettura”</w:t>
      </w:r>
      <w:r w:rsidRPr="007A2F29">
        <w:rPr>
          <w:rFonts w:asciiTheme="majorHAnsi" w:hAnsiTheme="majorHAnsi" w:cs="Helvetica"/>
          <w:i/>
          <w:color w:val="1C2024"/>
          <w:sz w:val="28"/>
          <w:szCs w:val="28"/>
        </w:rPr>
        <w:t>.</w:t>
      </w:r>
    </w:p>
    <w:p w:rsidR="007A2F29" w:rsidRPr="007A2F29" w:rsidRDefault="007A2F29" w:rsidP="007A2F29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ajorHAnsi" w:hAnsiTheme="majorHAnsi" w:cs="Helvetica"/>
          <w:color w:val="1C2024"/>
        </w:rPr>
      </w:pPr>
      <w:r w:rsidRPr="007A2F29">
        <w:rPr>
          <w:rFonts w:asciiTheme="majorHAnsi" w:hAnsiTheme="majorHAnsi" w:cs="Helvetica"/>
          <w:color w:val="1C2024"/>
        </w:rPr>
        <w:t>E proprio a tal fine, l’Amministrazione comunale di Capaccio Paestum ha inteso avviare importanti rapporti di collaborazione con gli enti pubblici, le istituzioni scolastiche e i soggetti privati e del Terzo settore presenti nel territorio, con l’obiettivo di  </w:t>
      </w:r>
      <w:r w:rsidRPr="007A2F29">
        <w:rPr>
          <w:rStyle w:val="Enfasigrassetto"/>
          <w:rFonts w:asciiTheme="majorHAnsi" w:hAnsiTheme="majorHAnsi" w:cs="Helvetica"/>
          <w:color w:val="1C2024"/>
        </w:rPr>
        <w:t>implementare una rete locale per la promozione della lettura</w:t>
      </w:r>
      <w:r w:rsidRPr="007A2F29">
        <w:rPr>
          <w:rFonts w:asciiTheme="majorHAnsi" w:hAnsiTheme="majorHAnsi" w:cs="Helvetica"/>
          <w:color w:val="1C2024"/>
        </w:rPr>
        <w:t>.</w:t>
      </w:r>
    </w:p>
    <w:p w:rsidR="007A2F29" w:rsidRDefault="007A2F29" w:rsidP="007A2F29">
      <w:pPr>
        <w:pStyle w:val="NormaleWeb"/>
        <w:shd w:val="clear" w:color="auto" w:fill="FFFFFF"/>
        <w:spacing w:before="0" w:beforeAutospacing="0" w:after="0" w:afterAutospacing="0"/>
        <w:ind w:left="2127"/>
        <w:jc w:val="both"/>
        <w:rPr>
          <w:rFonts w:asciiTheme="majorHAnsi" w:hAnsiTheme="majorHAnsi" w:cs="Helvetica"/>
          <w:color w:val="1C2024"/>
        </w:rPr>
      </w:pPr>
      <w:r>
        <w:rPr>
          <w:rFonts w:asciiTheme="majorHAnsi" w:hAnsiTheme="majorHAnsi" w:cs="Helvetica"/>
          <w:color w:val="1C2024"/>
        </w:rPr>
        <w:t xml:space="preserve">   </w:t>
      </w:r>
    </w:p>
    <w:p w:rsidR="007A2F29" w:rsidRPr="007A2F29" w:rsidRDefault="007A2F29" w:rsidP="007A2F29">
      <w:pPr>
        <w:pStyle w:val="NormaleWeb"/>
        <w:shd w:val="clear" w:color="auto" w:fill="FFFFFF"/>
        <w:spacing w:before="0" w:beforeAutospacing="0" w:after="0" w:afterAutospacing="0"/>
        <w:ind w:left="2127"/>
        <w:jc w:val="both"/>
        <w:rPr>
          <w:rFonts w:asciiTheme="majorHAnsi" w:hAnsiTheme="majorHAnsi" w:cs="Helvetica"/>
          <w:color w:val="1C2024"/>
        </w:rPr>
      </w:pPr>
      <w:r>
        <w:rPr>
          <w:rFonts w:asciiTheme="majorHAnsi" w:hAnsiTheme="majorHAnsi" w:cs="Helvetica"/>
          <w:color w:val="1C2024"/>
        </w:rPr>
        <w:t xml:space="preserve">        </w:t>
      </w:r>
      <w:r w:rsidRPr="007A2F29">
        <w:rPr>
          <w:rFonts w:asciiTheme="majorHAnsi" w:hAnsiTheme="majorHAnsi" w:cs="Helvetica"/>
          <w:color w:val="1C2024"/>
        </w:rPr>
        <w:t xml:space="preserve">Il Sindaco </w:t>
      </w:r>
    </w:p>
    <w:p w:rsidR="007A2F29" w:rsidRPr="007A2F29" w:rsidRDefault="007A2F29" w:rsidP="007A2F29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Helvetica"/>
          <w:color w:val="1C2024"/>
        </w:rPr>
      </w:pPr>
      <w:r>
        <w:rPr>
          <w:rFonts w:asciiTheme="majorHAnsi" w:hAnsiTheme="majorHAnsi" w:cs="Helvetica"/>
          <w:color w:val="1C2024"/>
        </w:rPr>
        <w:t xml:space="preserve">    </w:t>
      </w:r>
      <w:r>
        <w:rPr>
          <w:rFonts w:asciiTheme="majorHAnsi" w:hAnsiTheme="majorHAnsi" w:cs="Helvetica"/>
          <w:color w:val="1C2024"/>
        </w:rPr>
        <w:tab/>
      </w:r>
      <w:r>
        <w:rPr>
          <w:rFonts w:asciiTheme="majorHAnsi" w:hAnsiTheme="majorHAnsi" w:cs="Helvetica"/>
          <w:color w:val="1C2024"/>
        </w:rPr>
        <w:tab/>
      </w:r>
      <w:r w:rsidRPr="007A2F29">
        <w:rPr>
          <w:rFonts w:asciiTheme="majorHAnsi" w:hAnsiTheme="majorHAnsi" w:cs="Helvetica"/>
          <w:color w:val="1C2024"/>
        </w:rPr>
        <w:t>Avv. Francesco Alfieri</w:t>
      </w:r>
    </w:p>
    <w:p w:rsidR="007A2F29" w:rsidRDefault="007A2F29" w:rsidP="007A2F2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C2024"/>
        </w:rPr>
      </w:pPr>
    </w:p>
    <w:p w:rsidR="007A2F29" w:rsidRDefault="007A2F29" w:rsidP="007A2F29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="Helvetica" w:hAnsi="Helvetica" w:cs="Helvetica"/>
          <w:color w:val="1C2024"/>
        </w:rPr>
      </w:pPr>
    </w:p>
    <w:p w:rsidR="007A2F29" w:rsidRDefault="00103716" w:rsidP="007A2F29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="Helvetica" w:hAnsi="Helvetica" w:cs="Helvetica"/>
          <w:color w:val="1C2024"/>
        </w:rPr>
      </w:pPr>
      <w:r>
        <w:rPr>
          <w:rFonts w:ascii="Helvetica" w:hAnsi="Helvetica" w:cs="Helvetica"/>
          <w:noProof/>
          <w:color w:val="1C20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-1553845</wp:posOffset>
            </wp:positionV>
            <wp:extent cx="1005840" cy="1352550"/>
            <wp:effectExtent l="19050" t="0" r="3810" b="0"/>
            <wp:wrapSquare wrapText="bothSides"/>
            <wp:docPr id="5" name="Immagine 1" descr="C:\Users\Turismo\Downloads\CCP_loghi_cultura (4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ismo\Downloads\CCP_loghi_cultura (4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F29" w:rsidRPr="007A2F29" w:rsidRDefault="007A2F29" w:rsidP="007A2F29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="Helvetica" w:hAnsi="Helvetica" w:cs="Helvetica"/>
          <w:b/>
          <w:color w:val="1C2024"/>
        </w:rPr>
        <w:sectPr w:rsidR="007A2F29" w:rsidRPr="007A2F29" w:rsidSect="007A2F29">
          <w:headerReference w:type="default" r:id="rId10"/>
          <w:footerReference w:type="default" r:id="rId11"/>
          <w:pgSz w:w="11900" w:h="16840"/>
          <w:pgMar w:top="1440" w:right="1080" w:bottom="1440" w:left="1080" w:header="709" w:footer="709" w:gutter="0"/>
          <w:cols w:num="2" w:space="720"/>
          <w:docGrid w:linePitch="326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A2F29" w:rsidRPr="007A2F29" w:rsidTr="007A2F29">
        <w:tc>
          <w:tcPr>
            <w:tcW w:w="9778" w:type="dxa"/>
            <w:shd w:val="clear" w:color="auto" w:fill="F2F2F2" w:themeFill="background1" w:themeFillShade="F2"/>
            <w:hideMark/>
          </w:tcPr>
          <w:p w:rsidR="00103716" w:rsidRDefault="00764844" w:rsidP="00103716">
            <w:pPr>
              <w:tabs>
                <w:tab w:val="left" w:pos="6930"/>
              </w:tabs>
              <w:jc w:val="center"/>
              <w:rPr>
                <w:b/>
                <w:color w:val="C00822"/>
                <w:sz w:val="28"/>
                <w:szCs w:val="28"/>
              </w:rPr>
            </w:pPr>
            <w:r>
              <w:rPr>
                <w:b/>
                <w:color w:val="C00822"/>
                <w:sz w:val="28"/>
                <w:szCs w:val="28"/>
              </w:rPr>
              <w:lastRenderedPageBreak/>
              <w:t>ADESIONE</w:t>
            </w:r>
            <w:r w:rsidR="00103716">
              <w:rPr>
                <w:b/>
                <w:color w:val="C00822"/>
                <w:sz w:val="28"/>
                <w:szCs w:val="28"/>
              </w:rPr>
              <w:t xml:space="preserve"> </w:t>
            </w:r>
          </w:p>
          <w:p w:rsidR="00103716" w:rsidRDefault="00103716" w:rsidP="00103716">
            <w:pPr>
              <w:tabs>
                <w:tab w:val="left" w:pos="6930"/>
              </w:tabs>
              <w:jc w:val="center"/>
              <w:rPr>
                <w:b/>
                <w:color w:val="C00822"/>
                <w:sz w:val="28"/>
                <w:szCs w:val="28"/>
              </w:rPr>
            </w:pPr>
            <w:r>
              <w:rPr>
                <w:b/>
                <w:color w:val="C00822"/>
                <w:sz w:val="28"/>
                <w:szCs w:val="28"/>
              </w:rPr>
              <w:t xml:space="preserve">al patto per la lettura del Comune di Capaccio Paestum  </w:t>
            </w:r>
          </w:p>
          <w:p w:rsidR="007A2F29" w:rsidRPr="00A422EA" w:rsidRDefault="00103716" w:rsidP="00103716">
            <w:pPr>
              <w:tabs>
                <w:tab w:val="left" w:pos="6930"/>
              </w:tabs>
              <w:jc w:val="center"/>
              <w:rPr>
                <w:b/>
                <w:color w:val="C00822"/>
                <w:sz w:val="24"/>
                <w:szCs w:val="24"/>
              </w:rPr>
            </w:pPr>
            <w:r w:rsidRPr="00A422EA">
              <w:rPr>
                <w:color w:val="C00822"/>
                <w:sz w:val="24"/>
                <w:szCs w:val="24"/>
              </w:rPr>
              <w:t>DGC n. 122 dell’11 marzo 2021</w:t>
            </w:r>
          </w:p>
        </w:tc>
      </w:tr>
    </w:tbl>
    <w:p w:rsidR="007A2F29" w:rsidRDefault="007A2F29" w:rsidP="00A422EA">
      <w:pPr>
        <w:pBdr>
          <w:bottom w:val="nil"/>
        </w:pBdr>
        <w:jc w:val="both"/>
        <w:rPr>
          <w:rFonts w:asciiTheme="minorHAnsi" w:eastAsiaTheme="minorEastAsia" w:hAnsiTheme="minorHAnsi" w:cstheme="minorBidi"/>
          <w:b/>
          <w:color w:val="632423" w:themeColor="accent2" w:themeShade="80"/>
        </w:rPr>
      </w:pPr>
    </w:p>
    <w:p w:rsidR="00A422EA" w:rsidRPr="00BD1402" w:rsidRDefault="00A422EA" w:rsidP="00A422EA">
      <w:pPr>
        <w:pBdr>
          <w:bottom w:val="nil"/>
        </w:pBdr>
        <w:jc w:val="both"/>
        <w:rPr>
          <w:rFonts w:asciiTheme="majorHAnsi" w:hAnsiTheme="majorHAnsi"/>
        </w:rPr>
      </w:pPr>
      <w:r w:rsidRPr="00BD1402">
        <w:rPr>
          <w:rFonts w:asciiTheme="majorHAnsi" w:hAnsiTheme="majorHAnsi"/>
        </w:rPr>
        <w:t>Il sottoscritto _________ in qualità di legale rappresentante di _________ con sede in _______ alla via___</w:t>
      </w:r>
      <w:r>
        <w:rPr>
          <w:rFonts w:asciiTheme="majorHAnsi" w:hAnsiTheme="majorHAnsi"/>
        </w:rPr>
        <w:t>____</w:t>
      </w:r>
      <w:r w:rsidRPr="00BD1402">
        <w:rPr>
          <w:rFonts w:asciiTheme="majorHAnsi" w:hAnsiTheme="majorHAnsi"/>
        </w:rPr>
        <w:t>____</w:t>
      </w:r>
    </w:p>
    <w:p w:rsidR="00A422EA" w:rsidRPr="00BD1402" w:rsidRDefault="00A422EA" w:rsidP="00A422EA">
      <w:pPr>
        <w:pBdr>
          <w:bottom w:val="nil"/>
        </w:pBdr>
        <w:jc w:val="center"/>
        <w:rPr>
          <w:rFonts w:asciiTheme="majorHAnsi" w:hAnsiTheme="majorHAnsi"/>
          <w:b/>
        </w:rPr>
      </w:pPr>
      <w:r w:rsidRPr="00BD1402">
        <w:rPr>
          <w:rFonts w:asciiTheme="majorHAnsi" w:hAnsiTheme="majorHAnsi"/>
          <w:b/>
        </w:rPr>
        <w:t>Premesso</w:t>
      </w:r>
    </w:p>
    <w:p w:rsidR="00A422EA" w:rsidRDefault="00A422EA" w:rsidP="00A422EA">
      <w:pPr>
        <w:pBdr>
          <w:bottom w:val="nil"/>
        </w:pBd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BD1402">
        <w:rPr>
          <w:rFonts w:asciiTheme="majorHAnsi" w:hAnsiTheme="majorHAnsi" w:cs="Times New Roman"/>
        </w:rPr>
        <w:t>Che il Centro per il Libro e la Lettura ha indetto un bando dal titolo “Città che Legge 2020”  che si rivolge ai Comuni che hanno ottenuto la qualifica di “Città che legge” per il biennio 2020-2021, impegnandosi a promuovere la lettura con continuità, anche attraverso la stipula di un Patto locale per la lettura</w:t>
      </w:r>
      <w:r>
        <w:rPr>
          <w:rFonts w:asciiTheme="majorHAnsi" w:hAnsiTheme="majorHAnsi" w:cs="Times New Roman"/>
        </w:rPr>
        <w:t xml:space="preserve">. </w:t>
      </w:r>
    </w:p>
    <w:p w:rsidR="00A422EA" w:rsidRPr="00BD1402" w:rsidRDefault="00A422EA" w:rsidP="00A422EA">
      <w:pPr>
        <w:pBdr>
          <w:bottom w:val="nil"/>
        </w:pBd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A422EA" w:rsidRDefault="00A422EA" w:rsidP="00A422EA">
      <w:pPr>
        <w:pStyle w:val="Nessunaspaziatura"/>
        <w:ind w:left="0" w:firstLine="0"/>
        <w:jc w:val="both"/>
        <w:rPr>
          <w:rFonts w:asciiTheme="majorHAnsi" w:hAnsiTheme="majorHAnsi" w:cs="Calibri"/>
        </w:rPr>
      </w:pPr>
      <w:r w:rsidRPr="00A422EA">
        <w:rPr>
          <w:rFonts w:asciiTheme="majorHAnsi" w:hAnsiTheme="majorHAnsi" w:cs="Calibri"/>
        </w:rPr>
        <w:t>Il Comune di Capaccio Paestum ha ottenuto da parte del Centro per il libro e per la lettura (Cepell), la qualifica di “Città che legge”, un riconoscimento che,  concesso d’intesa con l’Associazione Nazionale Comuni Italiani (ANCI), viene attribuito a quelle amministrazioni comunali impegnate a svolgere con continuità sul proprio territorio politiche pubbliche di promozione della lettura.</w:t>
      </w:r>
    </w:p>
    <w:p w:rsidR="00A422EA" w:rsidRDefault="00A422EA" w:rsidP="00A422EA">
      <w:pPr>
        <w:pStyle w:val="Nessunaspaziatura"/>
        <w:ind w:left="0" w:firstLine="0"/>
        <w:jc w:val="both"/>
        <w:rPr>
          <w:rFonts w:asciiTheme="majorHAnsi" w:hAnsiTheme="majorHAnsi" w:cs="Calibri"/>
        </w:rPr>
      </w:pPr>
    </w:p>
    <w:p w:rsidR="00A422EA" w:rsidRPr="00A422EA" w:rsidRDefault="00A422EA" w:rsidP="00A422EA">
      <w:pPr>
        <w:pStyle w:val="Nessunaspaziatura"/>
        <w:ind w:left="0" w:firstLine="0"/>
        <w:jc w:val="both"/>
        <w:rPr>
          <w:rFonts w:asciiTheme="majorHAnsi" w:hAnsiTheme="majorHAnsi" w:cs="Calibri"/>
        </w:rPr>
      </w:pPr>
      <w:r w:rsidRPr="00A422EA">
        <w:rPr>
          <w:rFonts w:asciiTheme="majorHAnsi" w:hAnsiTheme="majorHAnsi" w:cs="Calibri"/>
        </w:rPr>
        <w:t xml:space="preserve">L’Amministrazione comunale di Capaccio Paestum ha  </w:t>
      </w:r>
      <w:r>
        <w:rPr>
          <w:rFonts w:asciiTheme="majorHAnsi" w:hAnsiTheme="majorHAnsi" w:cs="Calibri"/>
        </w:rPr>
        <w:t>a</w:t>
      </w:r>
      <w:r w:rsidRPr="00A422EA">
        <w:rPr>
          <w:rFonts w:asciiTheme="majorHAnsi" w:hAnsiTheme="majorHAnsi" w:cs="Calibri"/>
        </w:rPr>
        <w:t>pprovato nel 2021 il “Patto per la lettura della città di Capaccio Paestum”, con l’obiettivo di stringere con la comunità cittadina un intesa culturale importante e profonda, necessaria per dare impulso a quel distretto culturale cittadino caratterizzato  dalla capacità di coniugare le proposte e gli interpreti di livello internazionale con l’identità culturale locale.</w:t>
      </w:r>
    </w:p>
    <w:p w:rsidR="00A422EA" w:rsidRPr="00BD1402" w:rsidRDefault="00A422EA" w:rsidP="00A422EA">
      <w:pPr>
        <w:pStyle w:val="Nessunaspaziatura"/>
        <w:ind w:left="0" w:firstLine="0"/>
        <w:jc w:val="both"/>
        <w:rPr>
          <w:rFonts w:asciiTheme="majorHAnsi" w:hAnsiTheme="majorHAnsi"/>
        </w:rPr>
      </w:pPr>
    </w:p>
    <w:p w:rsidR="00A422EA" w:rsidRPr="007A2F29" w:rsidRDefault="00A422EA" w:rsidP="00A422EA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ajorHAnsi" w:hAnsiTheme="majorHAnsi" w:cs="Helvetica"/>
          <w:color w:val="1C2024"/>
        </w:rPr>
      </w:pPr>
      <w:r>
        <w:rPr>
          <w:rFonts w:asciiTheme="majorHAnsi" w:hAnsiTheme="majorHAnsi" w:cs="Helvetica"/>
          <w:color w:val="1C2024"/>
        </w:rPr>
        <w:t xml:space="preserve">Che è  importanti rafforzare i </w:t>
      </w:r>
      <w:r w:rsidRPr="007A2F29">
        <w:rPr>
          <w:rFonts w:asciiTheme="majorHAnsi" w:hAnsiTheme="majorHAnsi" w:cs="Helvetica"/>
          <w:color w:val="1C2024"/>
        </w:rPr>
        <w:t>rapporti di collaborazione con gli enti pubblici, le istituzioni scolastiche e i soggetti privati e del Terzo settore presenti nel territorio, con l’obiettivo di  </w:t>
      </w:r>
      <w:r w:rsidRPr="007A2F29">
        <w:rPr>
          <w:rStyle w:val="Enfasigrassetto"/>
          <w:rFonts w:asciiTheme="majorHAnsi" w:hAnsiTheme="majorHAnsi" w:cs="Helvetica"/>
          <w:color w:val="1C2024"/>
        </w:rPr>
        <w:t>implementare una rete locale per la promozione della lettura</w:t>
      </w:r>
      <w:r w:rsidRPr="007A2F29">
        <w:rPr>
          <w:rFonts w:asciiTheme="majorHAnsi" w:hAnsiTheme="majorHAnsi" w:cs="Helvetica"/>
          <w:color w:val="1C2024"/>
        </w:rPr>
        <w:t>.</w:t>
      </w:r>
    </w:p>
    <w:p w:rsidR="00A422EA" w:rsidRDefault="00A422EA" w:rsidP="00A422EA">
      <w:pPr>
        <w:pStyle w:val="Nessunaspaziatura"/>
        <w:ind w:left="0" w:firstLine="0"/>
        <w:jc w:val="center"/>
        <w:rPr>
          <w:rFonts w:asciiTheme="majorHAnsi" w:hAnsiTheme="majorHAnsi" w:cs="Adobe Devanagari"/>
          <w:bCs/>
        </w:rPr>
      </w:pPr>
    </w:p>
    <w:p w:rsidR="00A422EA" w:rsidRPr="00323FFE" w:rsidRDefault="00A422EA" w:rsidP="00A422EA">
      <w:pPr>
        <w:pStyle w:val="Nessunaspaziatura"/>
        <w:ind w:left="0" w:firstLine="0"/>
        <w:jc w:val="center"/>
        <w:rPr>
          <w:rFonts w:asciiTheme="majorHAnsi" w:hAnsiTheme="majorHAnsi" w:cs="Adobe Devanagari"/>
          <w:b/>
          <w:bCs/>
        </w:rPr>
      </w:pPr>
      <w:r w:rsidRPr="00323FFE">
        <w:rPr>
          <w:rFonts w:asciiTheme="majorHAnsi" w:hAnsiTheme="majorHAnsi" w:cs="Adobe Devanagari"/>
          <w:b/>
          <w:bCs/>
        </w:rPr>
        <w:t>DICHIARA</w:t>
      </w:r>
    </w:p>
    <w:p w:rsidR="00A422EA" w:rsidRDefault="00A422EA" w:rsidP="00A422EA">
      <w:pPr>
        <w:pStyle w:val="Nessunaspaziatura"/>
        <w:ind w:left="0" w:firstLine="0"/>
        <w:jc w:val="both"/>
        <w:rPr>
          <w:rFonts w:asciiTheme="majorHAnsi" w:hAnsiTheme="majorHAnsi" w:cs="Adobe Devanagari"/>
          <w:bCs/>
        </w:rPr>
      </w:pPr>
    </w:p>
    <w:p w:rsidR="00A422EA" w:rsidRPr="00BD1402" w:rsidRDefault="00A422EA" w:rsidP="00A422EA">
      <w:pPr>
        <w:pStyle w:val="Nessunaspaziatura"/>
        <w:ind w:left="0" w:firstLine="0"/>
        <w:jc w:val="both"/>
        <w:rPr>
          <w:rFonts w:asciiTheme="majorHAnsi" w:hAnsiTheme="majorHAnsi" w:cs="Adobe Devanagari"/>
          <w:bCs/>
        </w:rPr>
      </w:pPr>
      <w:r>
        <w:rPr>
          <w:rFonts w:asciiTheme="majorHAnsi" w:hAnsiTheme="majorHAnsi" w:cs="Adobe Devanagari"/>
          <w:bCs/>
        </w:rPr>
        <w:t xml:space="preserve">L’adesione al Patto per la lettura del Comune di CapaccioPaestum </w:t>
      </w:r>
      <w:r w:rsidRPr="00BD1402">
        <w:rPr>
          <w:rFonts w:asciiTheme="majorHAnsi" w:hAnsiTheme="majorHAnsi" w:cs="Adobe Devanagari"/>
          <w:bCs/>
        </w:rPr>
        <w:t xml:space="preserve">  e si impegna sin da ora a </w:t>
      </w:r>
      <w:r>
        <w:rPr>
          <w:rFonts w:asciiTheme="majorHAnsi" w:hAnsiTheme="majorHAnsi" w:cs="Adobe Devanagari"/>
          <w:bCs/>
        </w:rPr>
        <w:t xml:space="preserve"> implementare inizitive e a sostenere attività che concorrano alla realizzazione degli obiettivi del patto. </w:t>
      </w:r>
    </w:p>
    <w:p w:rsidR="00A422EA" w:rsidRDefault="00A422EA" w:rsidP="00A422EA">
      <w:pPr>
        <w:pStyle w:val="Nessunaspaziatura"/>
        <w:ind w:left="0" w:firstLine="0"/>
        <w:jc w:val="both"/>
        <w:rPr>
          <w:rFonts w:asciiTheme="majorHAnsi" w:hAnsiTheme="majorHAnsi" w:cs="Adobe Devanagari"/>
          <w:bCs/>
        </w:rPr>
      </w:pPr>
    </w:p>
    <w:p w:rsidR="00A422EA" w:rsidRPr="00A422EA" w:rsidRDefault="00A422EA" w:rsidP="00A422EA">
      <w:pPr>
        <w:pStyle w:val="Nessunaspaziatura"/>
        <w:ind w:left="0"/>
        <w:jc w:val="both"/>
        <w:rPr>
          <w:rFonts w:ascii="Bodoni MT" w:hAnsi="Bodoni MT" w:cs="Adobe Devanagari"/>
          <w:bCs/>
          <w:i/>
          <w:sz w:val="26"/>
          <w:szCs w:val="26"/>
        </w:rPr>
      </w:pPr>
      <w:r w:rsidRPr="00A422EA">
        <w:rPr>
          <w:rFonts w:asciiTheme="majorHAnsi" w:hAnsiTheme="majorHAnsi" w:cs="Adobe Devanagari"/>
          <w:bCs/>
          <w:i/>
        </w:rPr>
        <w:t xml:space="preserve">Luogo e data </w:t>
      </w:r>
      <w:r w:rsidRPr="00A422EA">
        <w:rPr>
          <w:rFonts w:asciiTheme="majorHAnsi" w:hAnsiTheme="majorHAnsi" w:cs="Adobe Devanagari"/>
          <w:bCs/>
          <w:i/>
        </w:rPr>
        <w:tab/>
      </w:r>
      <w:r w:rsidRPr="00A422EA">
        <w:rPr>
          <w:rFonts w:asciiTheme="majorHAnsi" w:hAnsiTheme="majorHAnsi" w:cs="Adobe Devanagari"/>
          <w:bCs/>
          <w:i/>
        </w:rPr>
        <w:tab/>
      </w:r>
      <w:r w:rsidRPr="00A422EA">
        <w:rPr>
          <w:rFonts w:asciiTheme="majorHAnsi" w:hAnsiTheme="majorHAnsi" w:cs="Adobe Devanagari"/>
          <w:bCs/>
          <w:i/>
        </w:rPr>
        <w:tab/>
      </w:r>
      <w:r w:rsidRPr="00A422EA">
        <w:rPr>
          <w:rFonts w:asciiTheme="majorHAnsi" w:hAnsiTheme="majorHAnsi" w:cs="Adobe Devanagari"/>
          <w:bCs/>
          <w:i/>
        </w:rPr>
        <w:tab/>
      </w:r>
      <w:r w:rsidRPr="00A422EA">
        <w:rPr>
          <w:rFonts w:asciiTheme="majorHAnsi" w:hAnsiTheme="majorHAnsi" w:cs="Adobe Devanagari"/>
          <w:bCs/>
          <w:i/>
        </w:rPr>
        <w:tab/>
      </w:r>
      <w:r w:rsidRPr="00A422EA">
        <w:rPr>
          <w:rFonts w:asciiTheme="majorHAnsi" w:hAnsiTheme="majorHAnsi" w:cs="Adobe Devanagari"/>
          <w:bCs/>
          <w:i/>
        </w:rPr>
        <w:tab/>
      </w:r>
      <w:r w:rsidRPr="00A422EA">
        <w:rPr>
          <w:rFonts w:asciiTheme="majorHAnsi" w:hAnsiTheme="majorHAnsi" w:cs="Adobe Devanagari"/>
          <w:bCs/>
          <w:i/>
        </w:rPr>
        <w:tab/>
      </w:r>
      <w:r w:rsidRPr="00A422EA">
        <w:rPr>
          <w:rFonts w:asciiTheme="majorHAnsi" w:hAnsiTheme="majorHAnsi" w:cs="Adobe Devanagari"/>
          <w:bCs/>
          <w:i/>
        </w:rPr>
        <w:tab/>
        <w:t>Firma</w:t>
      </w:r>
      <w:r w:rsidRPr="00A422EA">
        <w:rPr>
          <w:rFonts w:ascii="Bodoni MT" w:hAnsi="Bodoni MT" w:cs="Adobe Devanagari"/>
          <w:bCs/>
          <w:i/>
          <w:sz w:val="26"/>
          <w:szCs w:val="26"/>
        </w:rPr>
        <w:t xml:space="preserve"> </w:t>
      </w:r>
    </w:p>
    <w:p w:rsidR="00A422EA" w:rsidRDefault="00A422EA" w:rsidP="00A422EA">
      <w:pPr>
        <w:pStyle w:val="Nessunaspaziatura"/>
        <w:ind w:left="0" w:firstLine="0"/>
        <w:jc w:val="both"/>
      </w:pPr>
    </w:p>
    <w:p w:rsidR="007A2F29" w:rsidRDefault="007A2F29" w:rsidP="008912EC">
      <w:pPr>
        <w:pStyle w:val="Nessunaspaziatura"/>
        <w:jc w:val="right"/>
        <w:rPr>
          <w:rFonts w:ascii="Bodoni MT" w:hAnsi="Bodoni MT"/>
          <w:i/>
          <w:sz w:val="26"/>
          <w:szCs w:val="26"/>
        </w:rPr>
        <w:sectPr w:rsidR="007A2F29" w:rsidSect="007A2F29">
          <w:type w:val="continuous"/>
          <w:pgSz w:w="11900" w:h="16840"/>
          <w:pgMar w:top="1440" w:right="1080" w:bottom="1440" w:left="1080" w:header="709" w:footer="709" w:gutter="0"/>
          <w:cols w:space="720"/>
          <w:docGrid w:linePitch="326"/>
        </w:sectPr>
      </w:pPr>
    </w:p>
    <w:p w:rsidR="00170432" w:rsidRPr="00484013" w:rsidRDefault="00170432" w:rsidP="008912EC">
      <w:pPr>
        <w:pStyle w:val="Nessunaspaziatura"/>
        <w:jc w:val="right"/>
        <w:rPr>
          <w:rFonts w:ascii="Bodoni MT" w:hAnsi="Bodoni MT"/>
          <w:i/>
          <w:sz w:val="26"/>
          <w:szCs w:val="26"/>
        </w:rPr>
      </w:pPr>
    </w:p>
    <w:sectPr w:rsidR="00170432" w:rsidRPr="00484013" w:rsidSect="007A2F29">
      <w:type w:val="continuous"/>
      <w:pgSz w:w="11900" w:h="16840"/>
      <w:pgMar w:top="1440" w:right="1080" w:bottom="1440" w:left="1080" w:header="709" w:footer="709" w:gutter="0"/>
      <w:cols w:num="2"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569" w:rsidRDefault="00D36569" w:rsidP="008D41D4">
      <w:r>
        <w:separator/>
      </w:r>
    </w:p>
  </w:endnote>
  <w:endnote w:type="continuationSeparator" w:id="1">
    <w:p w:rsidR="00D36569" w:rsidRDefault="00D36569" w:rsidP="008D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54" w:rsidRDefault="004F72AD">
    <w:pPr>
      <w:pStyle w:val="Pidipagina"/>
      <w:ind w:left="1134"/>
    </w:pPr>
    <w:r>
      <w:rPr>
        <w:noProof/>
      </w:rPr>
      <w:drawing>
        <wp:inline distT="0" distB="0" distL="0" distR="0">
          <wp:extent cx="5829300" cy="838200"/>
          <wp:effectExtent l="19050" t="0" r="0" b="0"/>
          <wp:docPr id="2" name="officeArt object" descr="piede_sind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ede_sind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569" w:rsidRDefault="00D36569" w:rsidP="008D41D4">
      <w:r>
        <w:separator/>
      </w:r>
    </w:p>
  </w:footnote>
  <w:footnote w:type="continuationSeparator" w:id="1">
    <w:p w:rsidR="00D36569" w:rsidRDefault="00D36569" w:rsidP="008D4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51" w:rsidRPr="005E1C51" w:rsidRDefault="004F72AD" w:rsidP="005E1C51">
    <w:pPr>
      <w:pStyle w:val="Paragrafoelenco"/>
      <w:kinsoku w:val="0"/>
      <w:overflowPunct w:val="0"/>
      <w:rPr>
        <w:rFonts w:eastAsia="Arial Unicode MS"/>
      </w:rPr>
    </w:pPr>
    <w:r>
      <w:rPr>
        <w:noProof/>
      </w:rPr>
      <w:drawing>
        <wp:inline distT="0" distB="0" distL="0" distR="0">
          <wp:extent cx="1466850" cy="1047750"/>
          <wp:effectExtent l="19050" t="0" r="0" b="0"/>
          <wp:docPr id="1" name="officeArt object" descr="testata_sind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testata_sind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1C51">
      <w:t xml:space="preserve">                                                                </w:t>
    </w:r>
    <w:r w:rsidR="005E1C51" w:rsidRPr="005E1C51">
      <w:t xml:space="preserve"> </w:t>
    </w:r>
    <w:r w:rsidR="00D80596">
      <w:rPr>
        <w:rFonts w:eastAsia="Arial Unicode MS"/>
      </w:rPr>
    </w:r>
    <w:r w:rsidR="00D80596" w:rsidRPr="00D80596">
      <w:rPr>
        <w:rFonts w:eastAsia="Arial Unicode MS"/>
      </w:rPr>
      <w:pict>
        <v:group id="_x0000_s6181" style="width:65.7pt;height:68pt;mso-position-horizontal-relative:char;mso-position-vertical-relative:line" coordsize="1314,1360" o:allowincell="f">
          <v:shape id="_x0000_s6182" style="position:absolute;top:23;width:1314;height:1314;mso-position-horizontal-relative:page;mso-position-vertical-relative:page" coordsize="1314,1314" o:allowincell="f" path="m480,l,480r175,657l832,1313,1313,832,1137,175,480,xe" fillcolor="#ae2045" stroked="f">
            <v:path arrowok="t"/>
          </v:shape>
          <v:shape id="_x0000_s6183" style="position:absolute;left:67;width:1178;height:1360;mso-position-horizontal-relative:page;mso-position-vertical-relative:page" coordsize="1178,1360" o:allowincell="f" path="m588,l,339r,680l588,1359r589,-340l1177,339,588,xe" fillcolor="#ea5153" stroked="f">
            <v:path arrowok="t"/>
          </v:shape>
          <v:shape id="_x0000_s6184" style="position:absolute;left:77;top:100;width:1159;height:1159;mso-position-horizontal-relative:page;mso-position-vertical-relative:page" coordsize="1159,1159" o:allowincell="f" path="m423,l,423r155,580l734,1158,1158,734,1003,155,423,xe" fillcolor="#e62642" stroked="f">
            <v:path arrowok="t"/>
          </v:shape>
          <v:shape id="_x0000_s6185" style="position:absolute;left:174;top:197;width:966;height:966;mso-position-horizontal-relative:page;mso-position-vertical-relative:page" coordsize="966,966" o:allowincell="f" path="m611,l129,129,,611,353,965,835,835,965,353,611,xe" fillcolor="#ea5153" stroked="f">
            <v:path arrowok="t"/>
          </v:shape>
          <v:shape id="_x0000_s6186" style="position:absolute;left:282;top:342;width:748;height:674;mso-position-horizontal-relative:page;mso-position-vertical-relative:page" coordsize="748,674" o:allowincell="f" path="m538,l164,26,,362,209,673,583,647,747,310,538,xe" fillcolor="#ae2045" stroked="f">
            <v:path arrowok="t"/>
          </v:shape>
          <v:shape id="_x0000_s6187" style="position:absolute;left:385;top:408;width:543;height:543;mso-position-horizontal-relative:page;mso-position-vertical-relative:page" coordsize="543,543" o:allowincell="f" path="m198,l,198,72,470r272,72l542,344,470,72,198,xe" fillcolor="#ea5153" stroked="f">
            <v:path arrowok="t"/>
          </v:shape>
          <v:shape id="_x0000_s6188" style="position:absolute;left:453;top:476;width:408;height:408;mso-position-horizontal-relative:page;mso-position-vertical-relative:page" coordsize="408,408" o:allowincell="f" path="m258,l54,54,,258,149,407,352,352,407,149,258,xe" fillcolor="#e62642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6189" type="#_x0000_t75" style="position:absolute;left:534;top:558;width:240;height:240;mso-position-horizontal-relative:page;mso-position-vertical-relative:page" o:allowincell="f">
            <v:imagedata r:id="rId2" o:title=""/>
          </v:shape>
          <w10:wrap type="none"/>
          <w10:anchorlock/>
        </v:group>
      </w:pict>
    </w:r>
    <w:r w:rsidR="00D80596">
      <w:rPr>
        <w:rFonts w:eastAsia="Arial Unicode MS"/>
      </w:rPr>
    </w:r>
    <w:r w:rsidR="00D80596">
      <w:rPr>
        <w:rFonts w:eastAsia="Arial Unicode MS"/>
      </w:rPr>
      <w:pict>
        <v:group id="_x0000_s6163" style="width:97.4pt;height:60.1pt;mso-position-horizontal-relative:char;mso-position-vertical-relative:line" coordsize="1948,1202" o:allowincell="f">
          <v:shape id="_x0000_s6164" type="#_x0000_t75" style="position:absolute;top:595;width:1540;height:600;mso-position-horizontal-relative:page;mso-position-vertical-relative:page" o:allowincell="f">
            <v:imagedata r:id="rId3" o:title=""/>
          </v:shape>
          <v:group id="_x0000_s6165" style="position:absolute;left:12;width:1935;height:546" coordorigin="12" coordsize="1935,546" o:allowincell="f">
            <v:shape id="_x0000_s6166" style="position:absolute;left:12;width:1935;height:546;mso-position-horizontal-relative:page;mso-position-vertical-relative:page" coordsize="1935,546" o:allowincell="f" path="m228,380r-8,-38l211,330,199,314r-18,-9l181,380r-4,21l165,417r-19,9l119,430r-55,l64,330r55,l146,333r19,10l177,359r4,21l181,305r-16,-8l121,290r-104,l17,542r47,l64,469r57,l165,463r34,-18l211,430r9,-13l228,380e" fillcolor="#ae2045" stroked="f">
              <v:path arrowok="t"/>
            </v:shape>
            <v:shape id="_x0000_s6167" style="position:absolute;left:12;width:1935;height:546;mso-position-horizontal-relative:page;mso-position-vertical-relative:page" coordsize="1935,546" o:allowincell="f" path="m233,41r-1,-1l214,23,190,10,164,2,134,,80,9,38,36,10,77,,129r10,51l38,221r42,27l134,258r29,-3l190,247r24,-13l232,217r1,-1l203,187r-14,13l173,210r-18,5l136,217r-36,-7l72,192,53,164,46,129,53,93,72,65,100,47r36,-7l155,42r18,6l189,57r14,13l233,41e" fillcolor="#ae2045" stroked="f">
              <v:path arrowok="t"/>
            </v:shape>
            <v:shape id="_x0000_s6168" style="position:absolute;left:12;width:1935;height:546;mso-position-horizontal-relative:page;mso-position-vertical-relative:page" coordsize="1935,546" o:allowincell="f" path="m498,542l472,483,456,447,409,344r,103l315,447,362,337r47,110l409,344r-3,-7l385,290r-46,l226,542r48,l299,483r126,l450,542r48,e" fillcolor="#ae2045" stroked="f">
              <v:path arrowok="t"/>
            </v:shape>
            <v:shape id="_x0000_s6169" style="position:absolute;left:12;width:1935;height:546;mso-position-horizontal-relative:page;mso-position-vertical-relative:page" coordsize="1935,546" o:allowincell="f" path="m510,254l483,196,467,159,420,56r,103l326,159,373,50r47,109l420,56r-3,-6l396,3r-46,l237,254r48,l310,196r126,l461,254r49,e" fillcolor="#ae2045" stroked="f">
              <v:path arrowok="t"/>
            </v:shape>
            <v:shape id="_x0000_s6170" style="position:absolute;left:12;width:1935;height:546;mso-position-horizontal-relative:page;mso-position-vertical-relative:page" coordsize="1935,546" o:allowincell="f" path="m719,502r-142,l577,433r121,l698,395r-121,l577,330r137,l714,290r-184,l530,542r189,l719,502e" fillcolor="#ae2045" stroked="f">
              <v:path arrowok="t"/>
            </v:shape>
            <v:shape id="_x0000_s6171" style="position:absolute;left:12;width:1935;height:546;mso-position-horizontal-relative:page;mso-position-vertical-relative:page" coordsize="1935,546" o:allowincell="f" path="m752,92l744,55,735,43,723,27,705,17r,75l701,114r-12,15l670,139r-27,3l588,142r,-99l643,43r27,3l689,56r12,15l705,92r,-75l689,9,645,3,542,3r,251l588,254r,-72l645,182r44,-6l723,158r12,-16l744,130r8,-38e" fillcolor="#ae2045" stroked="f">
              <v:path arrowok="t"/>
            </v:shape>
            <v:shape id="_x0000_s6172" style="position:absolute;left:12;width:1935;height:546;mso-position-horizontal-relative:page;mso-position-vertical-relative:page" coordsize="1935,546" o:allowincell="f" path="m950,471l927,422,876,401,825,387,801,360r3,-14l814,335r17,-7l856,326r17,1l890,330r18,7l925,345r8,-19l940,309r-18,-9l901,293r-22,-5l856,287r-45,6l780,309r-19,24l755,362r23,49l830,432r51,15l904,474r-3,13l891,497r-17,7l849,506r-24,-2l803,499r-20,-9l766,479r-16,36l768,527r24,10l820,543r29,2l894,539r31,-16l938,506r6,-7l950,471e" fillcolor="#ae2045" stroked="f">
              <v:path arrowok="t"/>
            </v:shape>
            <v:shape id="_x0000_s6173" style="position:absolute;left:12;width:1935;height:546;mso-position-horizontal-relative:page;mso-position-vertical-relative:page" coordsize="1935,546" o:allowincell="f" path="m1023,254l996,196,980,159,933,56r,103l839,159,886,50r47,109l933,56r-3,-6l909,3r-46,l750,254r48,l823,196r126,l974,254r49,e" fillcolor="#ae2045" stroked="f">
              <v:path arrowok="t"/>
            </v:shape>
            <v:shape id="_x0000_s6174" style="position:absolute;left:12;width:1935;height:546;mso-position-horizontal-relative:page;mso-position-vertical-relative:page" coordsize="1935,546" o:allowincell="f" path="m1174,290r-213,l961,330r83,l1044,542r46,l1090,330r84,l1174,290e" fillcolor="#ae2045" stroked="f">
              <v:path arrowok="t"/>
            </v:shape>
            <v:shape id="_x0000_s6175" style="position:absolute;left:12;width:1935;height:546;mso-position-horizontal-relative:page;mso-position-vertical-relative:page" coordsize="1935,546" o:allowincell="f" path="m1267,41r-1,-1l1247,23,1224,10,1197,2,1168,r-54,9l1071,36r-28,41l1033,129r10,51l1071,221r43,27l1167,258r30,-3l1224,247r23,-13l1266,217r1,-1l1237,187r-15,13l1206,210r-17,5l1170,217r-36,-7l1105,192r-18,-28l1080,129r7,-36l1105,65r29,-18l1170,40r19,2l1206,48r16,9l1237,70r30,-29e" fillcolor="#ae2045" stroked="f">
              <v:path arrowok="t"/>
            </v:shape>
            <v:shape id="_x0000_s6176" style="position:absolute;left:12;width:1935;height:546;mso-position-horizontal-relative:page;mso-position-vertical-relative:page" coordsize="1935,546" o:allowincell="f" path="m1422,290r-46,l1376,430r-4,34l1359,487r-20,13l1312,504r-27,-4l1265,487r-12,-23l1249,430r,-140l1202,290r,142l1209,481r22,35l1266,538r46,7l1358,538r35,-22l1400,504r14,-23l1422,432r,-142e" fillcolor="#ae2045" stroked="f">
              <v:path arrowok="t"/>
            </v:shape>
            <v:shape id="_x0000_s6177" style="position:absolute;left:12;width:1935;height:546;mso-position-horizontal-relative:page;mso-position-vertical-relative:page" coordsize="1935,546" o:allowincell="f" path="m1522,41r-1,-1l1503,23,1479,10,1452,2,1423,r-54,9l1327,36r-28,41l1288,129r11,51l1327,221r42,27l1423,258r29,-3l1479,247r24,-13l1521,217r1,-1l1492,187r-14,13l1462,210r-18,5l1425,217r-36,-7l1361,192r-19,-28l1335,129r7,-36l1361,65r28,-18l1425,40r19,2l1462,48r16,9l1492,70r30,-29e" fillcolor="#ae2045" stroked="f">
              <v:path arrowok="t"/>
            </v:shape>
            <v:shape id="_x0000_s6178" style="position:absolute;left:12;width:1935;height:546;mso-position-horizontal-relative:page;mso-position-vertical-relative:page" coordsize="1935,546" o:allowincell="f" path="m1614,3r-47,l1567,254r47,l1614,3e" fillcolor="#ae2045" stroked="f">
              <v:path arrowok="t"/>
            </v:shape>
            <v:shape id="_x0000_s6179" style="position:absolute;left:12;width:1935;height:546;mso-position-horizontal-relative:page;mso-position-vertical-relative:page" coordsize="1935,546" o:allowincell="f" path="m1762,542r,-167l1762,290r-39,l1625,457r-47,-80l1526,290r-39,l1487,542r45,l1532,377r82,136l1635,513r33,-56l1717,375r1,167l1762,542e" fillcolor="#ae2045" stroked="f">
              <v:path arrowok="t"/>
            </v:shape>
            <v:shape id="_x0000_s6180" style="position:absolute;left:12;width:1935;height:546;mso-position-horizontal-relative:page;mso-position-vertical-relative:page" coordsize="1935,546" o:allowincell="f" path="m1934,129l1924,77,1899,40r-3,-4l1887,31r,98l1880,164r-18,28l1834,210r-35,7l1764,210r-28,-18l1717,164r-6,-35l1717,93r19,-28l1764,47r35,-7l1834,47r28,18l1880,93r7,36l1887,31,1853,9,1799,r-54,9l1702,36r-28,41l1664,129r10,51l1702,221r43,27l1799,258r54,-10l1896,221r3,-4l1924,180r10,-51e" fillcolor="#ae2045" stroked="f">
              <v:path arrowok="t"/>
            </v:shape>
          </v:group>
          <w10:wrap type="none"/>
          <w10:anchorlock/>
        </v:group>
      </w:pict>
    </w:r>
  </w:p>
  <w:p w:rsidR="005E1C51" w:rsidRPr="005E1C51" w:rsidRDefault="005E1C51" w:rsidP="005E1C5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overflowPunct w:val="0"/>
      <w:autoSpaceDE w:val="0"/>
      <w:autoSpaceDN w:val="0"/>
      <w:adjustRightInd w:val="0"/>
      <w:rPr>
        <w:rFonts w:ascii="Times New Roman" w:eastAsia="Arial Unicode MS" w:hAnsi="Times New Roman" w:cs="Times New Roman"/>
        <w:color w:val="auto"/>
        <w:sz w:val="20"/>
        <w:szCs w:val="20"/>
        <w:bdr w:val="none" w:sz="0" w:space="0" w:color="auto"/>
      </w:rPr>
    </w:pPr>
  </w:p>
  <w:p w:rsidR="005E1C51" w:rsidRDefault="002D3454">
    <w:pPr>
      <w:pStyle w:val="Intestazione"/>
      <w:tabs>
        <w:tab w:val="clear" w:pos="4819"/>
        <w:tab w:val="clear" w:pos="9638"/>
        <w:tab w:val="left" w:pos="6768"/>
      </w:tabs>
    </w:pPr>
    <w:r>
      <w:tab/>
    </w:r>
  </w:p>
  <w:p w:rsidR="005E1C51" w:rsidRDefault="005E1C51">
    <w:pPr>
      <w:pStyle w:val="Intestazione"/>
      <w:tabs>
        <w:tab w:val="clear" w:pos="4819"/>
        <w:tab w:val="clear" w:pos="9638"/>
        <w:tab w:val="left" w:pos="676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108E"/>
    <w:multiLevelType w:val="hybridMultilevel"/>
    <w:tmpl w:val="0E2AC8EE"/>
    <w:lvl w:ilvl="0" w:tplc="EC2E60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4127D"/>
    <w:multiLevelType w:val="hybridMultilevel"/>
    <w:tmpl w:val="D9AE674A"/>
    <w:lvl w:ilvl="0" w:tplc="8D3A7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F0E38"/>
    <w:multiLevelType w:val="hybridMultilevel"/>
    <w:tmpl w:val="7A0CBAF4"/>
    <w:lvl w:ilvl="0" w:tplc="68A4EA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43515"/>
    <w:multiLevelType w:val="hybridMultilevel"/>
    <w:tmpl w:val="355EA96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D41D4"/>
    <w:rsid w:val="00000F49"/>
    <w:rsid w:val="00001DFC"/>
    <w:rsid w:val="000055F7"/>
    <w:rsid w:val="00005F34"/>
    <w:rsid w:val="000204CF"/>
    <w:rsid w:val="00035935"/>
    <w:rsid w:val="00045D0B"/>
    <w:rsid w:val="000519F2"/>
    <w:rsid w:val="000542E3"/>
    <w:rsid w:val="00072ED1"/>
    <w:rsid w:val="000747BF"/>
    <w:rsid w:val="00074FCB"/>
    <w:rsid w:val="00077D1B"/>
    <w:rsid w:val="00080FDD"/>
    <w:rsid w:val="0009490A"/>
    <w:rsid w:val="000B01CB"/>
    <w:rsid w:val="000B0673"/>
    <w:rsid w:val="000B2800"/>
    <w:rsid w:val="000C34F4"/>
    <w:rsid w:val="000E4023"/>
    <w:rsid w:val="000E424F"/>
    <w:rsid w:val="000E5415"/>
    <w:rsid w:val="000E7AFB"/>
    <w:rsid w:val="000F27F2"/>
    <w:rsid w:val="00100078"/>
    <w:rsid w:val="00100C06"/>
    <w:rsid w:val="00103716"/>
    <w:rsid w:val="0010506F"/>
    <w:rsid w:val="00113D20"/>
    <w:rsid w:val="001444A7"/>
    <w:rsid w:val="001524DB"/>
    <w:rsid w:val="001558BA"/>
    <w:rsid w:val="0016120D"/>
    <w:rsid w:val="0017002C"/>
    <w:rsid w:val="00170432"/>
    <w:rsid w:val="00174250"/>
    <w:rsid w:val="0017482D"/>
    <w:rsid w:val="00175AEA"/>
    <w:rsid w:val="00185243"/>
    <w:rsid w:val="0019359F"/>
    <w:rsid w:val="001954BD"/>
    <w:rsid w:val="001A3B0A"/>
    <w:rsid w:val="001B5B25"/>
    <w:rsid w:val="001C6B6A"/>
    <w:rsid w:val="001C71F1"/>
    <w:rsid w:val="001F1064"/>
    <w:rsid w:val="001F2A22"/>
    <w:rsid w:val="001F775A"/>
    <w:rsid w:val="00203E9A"/>
    <w:rsid w:val="00210F84"/>
    <w:rsid w:val="002224C1"/>
    <w:rsid w:val="00226BFB"/>
    <w:rsid w:val="00240B2E"/>
    <w:rsid w:val="002437F4"/>
    <w:rsid w:val="00250D3E"/>
    <w:rsid w:val="00252BA3"/>
    <w:rsid w:val="00256465"/>
    <w:rsid w:val="00277C65"/>
    <w:rsid w:val="00280F2B"/>
    <w:rsid w:val="0028118C"/>
    <w:rsid w:val="002817A4"/>
    <w:rsid w:val="00284CBD"/>
    <w:rsid w:val="002C2A2D"/>
    <w:rsid w:val="002C4DC4"/>
    <w:rsid w:val="002C5EF0"/>
    <w:rsid w:val="002D32C2"/>
    <w:rsid w:val="002D3454"/>
    <w:rsid w:val="002F1130"/>
    <w:rsid w:val="002F5067"/>
    <w:rsid w:val="00313BAB"/>
    <w:rsid w:val="00324F55"/>
    <w:rsid w:val="00325520"/>
    <w:rsid w:val="0033057D"/>
    <w:rsid w:val="00351694"/>
    <w:rsid w:val="00352F78"/>
    <w:rsid w:val="00353FE7"/>
    <w:rsid w:val="003571BC"/>
    <w:rsid w:val="00384AB1"/>
    <w:rsid w:val="0038750B"/>
    <w:rsid w:val="00390831"/>
    <w:rsid w:val="003967A7"/>
    <w:rsid w:val="003B6AED"/>
    <w:rsid w:val="003C1DFA"/>
    <w:rsid w:val="003D3900"/>
    <w:rsid w:val="003F0DC8"/>
    <w:rsid w:val="003F3714"/>
    <w:rsid w:val="003F59F0"/>
    <w:rsid w:val="004257F1"/>
    <w:rsid w:val="00431A8F"/>
    <w:rsid w:val="00431C15"/>
    <w:rsid w:val="00454CF0"/>
    <w:rsid w:val="004623A3"/>
    <w:rsid w:val="0048268F"/>
    <w:rsid w:val="00484013"/>
    <w:rsid w:val="004B269B"/>
    <w:rsid w:val="004C0CA8"/>
    <w:rsid w:val="004D5003"/>
    <w:rsid w:val="004F5098"/>
    <w:rsid w:val="004F72AD"/>
    <w:rsid w:val="005043BF"/>
    <w:rsid w:val="00505C48"/>
    <w:rsid w:val="00521597"/>
    <w:rsid w:val="00530A3F"/>
    <w:rsid w:val="00545035"/>
    <w:rsid w:val="00555AEF"/>
    <w:rsid w:val="00563F61"/>
    <w:rsid w:val="00566000"/>
    <w:rsid w:val="00595261"/>
    <w:rsid w:val="005A7E2F"/>
    <w:rsid w:val="005E1C51"/>
    <w:rsid w:val="005E27EA"/>
    <w:rsid w:val="005F3FBE"/>
    <w:rsid w:val="005F41BD"/>
    <w:rsid w:val="005F52AA"/>
    <w:rsid w:val="00601D82"/>
    <w:rsid w:val="00602293"/>
    <w:rsid w:val="00625057"/>
    <w:rsid w:val="0063596F"/>
    <w:rsid w:val="006446A4"/>
    <w:rsid w:val="00646D16"/>
    <w:rsid w:val="00652CCC"/>
    <w:rsid w:val="00654407"/>
    <w:rsid w:val="00661DA3"/>
    <w:rsid w:val="006726F4"/>
    <w:rsid w:val="00672DD4"/>
    <w:rsid w:val="00685C74"/>
    <w:rsid w:val="006E226B"/>
    <w:rsid w:val="006F0286"/>
    <w:rsid w:val="00715D2E"/>
    <w:rsid w:val="00764844"/>
    <w:rsid w:val="007755E8"/>
    <w:rsid w:val="00782A0B"/>
    <w:rsid w:val="00794BF6"/>
    <w:rsid w:val="007A2F29"/>
    <w:rsid w:val="007B247C"/>
    <w:rsid w:val="007B73AE"/>
    <w:rsid w:val="007D7B73"/>
    <w:rsid w:val="007E413C"/>
    <w:rsid w:val="00810FA0"/>
    <w:rsid w:val="00825C93"/>
    <w:rsid w:val="0083127F"/>
    <w:rsid w:val="00841BBA"/>
    <w:rsid w:val="00844D74"/>
    <w:rsid w:val="00857B6C"/>
    <w:rsid w:val="00863C7F"/>
    <w:rsid w:val="00866470"/>
    <w:rsid w:val="008725F9"/>
    <w:rsid w:val="008912EC"/>
    <w:rsid w:val="008A2259"/>
    <w:rsid w:val="008B21E0"/>
    <w:rsid w:val="008B672D"/>
    <w:rsid w:val="008D41D4"/>
    <w:rsid w:val="008E7BE7"/>
    <w:rsid w:val="00900F1E"/>
    <w:rsid w:val="00905509"/>
    <w:rsid w:val="009100F5"/>
    <w:rsid w:val="00930340"/>
    <w:rsid w:val="0094765C"/>
    <w:rsid w:val="00956030"/>
    <w:rsid w:val="009B00BC"/>
    <w:rsid w:val="009B3630"/>
    <w:rsid w:val="009B4B50"/>
    <w:rsid w:val="009C067D"/>
    <w:rsid w:val="009D3E66"/>
    <w:rsid w:val="009D598D"/>
    <w:rsid w:val="009E4D46"/>
    <w:rsid w:val="00A00EA2"/>
    <w:rsid w:val="00A1729D"/>
    <w:rsid w:val="00A266AD"/>
    <w:rsid w:val="00A34640"/>
    <w:rsid w:val="00A40651"/>
    <w:rsid w:val="00A422EA"/>
    <w:rsid w:val="00A43DB2"/>
    <w:rsid w:val="00A45ED8"/>
    <w:rsid w:val="00A724E6"/>
    <w:rsid w:val="00AA766C"/>
    <w:rsid w:val="00AC4C59"/>
    <w:rsid w:val="00AD0809"/>
    <w:rsid w:val="00AD2BA8"/>
    <w:rsid w:val="00AD7196"/>
    <w:rsid w:val="00AE0E2E"/>
    <w:rsid w:val="00AE242E"/>
    <w:rsid w:val="00AF62BA"/>
    <w:rsid w:val="00B04204"/>
    <w:rsid w:val="00B16519"/>
    <w:rsid w:val="00B2611B"/>
    <w:rsid w:val="00B271CD"/>
    <w:rsid w:val="00B336BC"/>
    <w:rsid w:val="00B44544"/>
    <w:rsid w:val="00B71801"/>
    <w:rsid w:val="00B81BFA"/>
    <w:rsid w:val="00BA6B70"/>
    <w:rsid w:val="00BB4C62"/>
    <w:rsid w:val="00BC3D76"/>
    <w:rsid w:val="00BC50FC"/>
    <w:rsid w:val="00C032C9"/>
    <w:rsid w:val="00C153F2"/>
    <w:rsid w:val="00C51C04"/>
    <w:rsid w:val="00C60011"/>
    <w:rsid w:val="00C606DB"/>
    <w:rsid w:val="00C730E4"/>
    <w:rsid w:val="00C9612B"/>
    <w:rsid w:val="00C97B77"/>
    <w:rsid w:val="00CE52A3"/>
    <w:rsid w:val="00D10E88"/>
    <w:rsid w:val="00D13DE1"/>
    <w:rsid w:val="00D360E4"/>
    <w:rsid w:val="00D36569"/>
    <w:rsid w:val="00D40FD5"/>
    <w:rsid w:val="00D46539"/>
    <w:rsid w:val="00D5525E"/>
    <w:rsid w:val="00D72730"/>
    <w:rsid w:val="00D80596"/>
    <w:rsid w:val="00DA0CB9"/>
    <w:rsid w:val="00DC7980"/>
    <w:rsid w:val="00DD45AB"/>
    <w:rsid w:val="00DF0178"/>
    <w:rsid w:val="00DF4814"/>
    <w:rsid w:val="00E101B3"/>
    <w:rsid w:val="00E21D64"/>
    <w:rsid w:val="00E34E25"/>
    <w:rsid w:val="00E42544"/>
    <w:rsid w:val="00E46665"/>
    <w:rsid w:val="00E51844"/>
    <w:rsid w:val="00E54622"/>
    <w:rsid w:val="00E61CEF"/>
    <w:rsid w:val="00E721B8"/>
    <w:rsid w:val="00E7249B"/>
    <w:rsid w:val="00EC6643"/>
    <w:rsid w:val="00ED0FB9"/>
    <w:rsid w:val="00ED11AB"/>
    <w:rsid w:val="00ED138B"/>
    <w:rsid w:val="00ED405F"/>
    <w:rsid w:val="00EE05C1"/>
    <w:rsid w:val="00EE481C"/>
    <w:rsid w:val="00EF2C38"/>
    <w:rsid w:val="00F053E7"/>
    <w:rsid w:val="00F2130F"/>
    <w:rsid w:val="00F2397A"/>
    <w:rsid w:val="00F25D8E"/>
    <w:rsid w:val="00F340FD"/>
    <w:rsid w:val="00F36063"/>
    <w:rsid w:val="00F505C7"/>
    <w:rsid w:val="00F55159"/>
    <w:rsid w:val="00F61130"/>
    <w:rsid w:val="00F77BD2"/>
    <w:rsid w:val="00F80631"/>
    <w:rsid w:val="00F86E73"/>
    <w:rsid w:val="00FA59B0"/>
    <w:rsid w:val="00FB788E"/>
    <w:rsid w:val="00FC3C4B"/>
    <w:rsid w:val="00FD3941"/>
    <w:rsid w:val="00FD7921"/>
    <w:rsid w:val="00FE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41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41D4"/>
    <w:rPr>
      <w:u w:val="single"/>
    </w:rPr>
  </w:style>
  <w:style w:type="table" w:customStyle="1" w:styleId="TableNormal">
    <w:name w:val="Table Normal"/>
    <w:rsid w:val="008D41D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8D41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Pidipagina">
    <w:name w:val="footer"/>
    <w:rsid w:val="008D41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rsid w:val="008D41D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C65"/>
    <w:rPr>
      <w:rFonts w:ascii="Tahoma" w:hAnsi="Tahoma" w:cs="Times New Roman"/>
      <w:sz w:val="16"/>
      <w:szCs w:val="16"/>
      <w:bdr w:val="none" w:sz="0" w:space="0" w:color="auto"/>
    </w:rPr>
  </w:style>
  <w:style w:type="character" w:customStyle="1" w:styleId="TestofumettoCarattere">
    <w:name w:val="Testo fumetto Carattere"/>
    <w:link w:val="Testofumetto"/>
    <w:uiPriority w:val="99"/>
    <w:semiHidden/>
    <w:rsid w:val="00277C65"/>
    <w:rPr>
      <w:rFonts w:ascii="Tahoma" w:eastAsia="Cambri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045D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5E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styleId="Nessunaspaziatura">
    <w:name w:val="No Spacing"/>
    <w:uiPriority w:val="1"/>
    <w:qFormat/>
    <w:rsid w:val="00454CF0"/>
    <w:pPr>
      <w:pBdr>
        <w:top w:val="nil"/>
        <w:left w:val="nil"/>
        <w:bottom w:val="nil"/>
        <w:right w:val="nil"/>
        <w:between w:val="nil"/>
        <w:bar w:val="nil"/>
      </w:pBdr>
      <w:ind w:left="284" w:right="284" w:firstLine="709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NormaleWeb">
    <w:name w:val="Normal (Web)"/>
    <w:basedOn w:val="Normale"/>
    <w:uiPriority w:val="99"/>
    <w:unhideWhenUsed/>
    <w:rsid w:val="007A2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table" w:styleId="Grigliatabella">
    <w:name w:val="Table Grid"/>
    <w:basedOn w:val="Tabellanormale"/>
    <w:uiPriority w:val="59"/>
    <w:rsid w:val="007A2F2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A2F29"/>
    <w:rPr>
      <w:b/>
      <w:bCs/>
    </w:rPr>
  </w:style>
  <w:style w:type="character" w:styleId="Enfasicorsivo">
    <w:name w:val="Emphasis"/>
    <w:basedOn w:val="Carpredefinitoparagrafo"/>
    <w:uiPriority w:val="20"/>
    <w:qFormat/>
    <w:rsid w:val="007A2F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38D2-7ACB-43E2-8665-CF5FB0ED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Client</cp:lastModifiedBy>
  <cp:revision>4</cp:revision>
  <cp:lastPrinted>2021-06-29T08:46:00Z</cp:lastPrinted>
  <dcterms:created xsi:type="dcterms:W3CDTF">2021-09-01T10:30:00Z</dcterms:created>
  <dcterms:modified xsi:type="dcterms:W3CDTF">2021-09-01T10:49:00Z</dcterms:modified>
</cp:coreProperties>
</file>