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5E623" w14:textId="77777777" w:rsidR="00E442E3" w:rsidRDefault="00E442E3" w:rsidP="00E442E3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>da inserire nella “Documentazione Amministrativa”</w:t>
      </w:r>
    </w:p>
    <w:p w14:paraId="5E601E8D" w14:textId="77777777" w:rsidR="00E442E3" w:rsidRDefault="00E442E3" w:rsidP="00B60807">
      <w:pPr>
        <w:pStyle w:val="Indice"/>
        <w:jc w:val="center"/>
        <w:rPr>
          <w:b/>
          <w:bCs/>
        </w:rPr>
      </w:pPr>
    </w:p>
    <w:p w14:paraId="7623F381" w14:textId="77777777" w:rsidR="00E442E3" w:rsidRDefault="00E442E3" w:rsidP="00B60807">
      <w:pPr>
        <w:pStyle w:val="Indice"/>
        <w:jc w:val="center"/>
        <w:rPr>
          <w:b/>
          <w:bCs/>
        </w:rPr>
      </w:pPr>
    </w:p>
    <w:p w14:paraId="1AAA2350" w14:textId="77777777" w:rsidR="005C5EE1" w:rsidRPr="005C5EE1" w:rsidRDefault="005C5EE1" w:rsidP="005C5E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Hlk128659705"/>
      <w:r w:rsidRPr="005C5EE1">
        <w:rPr>
          <w:rFonts w:ascii="Times New Roman" w:eastAsia="Times New Roman" w:hAnsi="Times New Roman" w:cs="Times New Roman"/>
          <w:sz w:val="24"/>
          <w:szCs w:val="28"/>
        </w:rPr>
        <w:t>ASMEL CONSORTILE PER IL</w:t>
      </w:r>
    </w:p>
    <w:p w14:paraId="6BC18E31" w14:textId="77777777" w:rsidR="00E442E3" w:rsidRDefault="00E442E3" w:rsidP="005C5E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C1962BF" w14:textId="45AF28EB" w:rsidR="005C5EE1" w:rsidRPr="005C5EE1" w:rsidRDefault="005C5EE1" w:rsidP="005C5E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C5EE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4EDF315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5C5EE1">
        <w:rPr>
          <w:rFonts w:ascii="Times New Roman" w:eastAsia="Times New Roman" w:hAnsi="Times New Roman" w:cs="Times New Roman"/>
          <w:b/>
          <w:bCs/>
          <w:sz w:val="32"/>
          <w:szCs w:val="32"/>
        </w:rPr>
        <w:t>Comune di Capaccio Paestum</w:t>
      </w:r>
    </w:p>
    <w:p w14:paraId="77934138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5EE1">
        <w:rPr>
          <w:rFonts w:ascii="Times New Roman" w:eastAsia="Times New Roman" w:hAnsi="Times New Roman" w:cs="Times New Roman"/>
          <w:i/>
          <w:spacing w:val="60"/>
          <w:sz w:val="32"/>
          <w:szCs w:val="32"/>
        </w:rPr>
        <w:t>Provincia di Salerno</w:t>
      </w:r>
    </w:p>
    <w:p w14:paraId="673A0451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5C5EE1">
        <w:rPr>
          <w:rFonts w:ascii="Times New Roman" w:eastAsia="Times New Roman" w:hAnsi="Times New Roman" w:cs="Times New Roman"/>
          <w:b/>
          <w:sz w:val="24"/>
          <w:szCs w:val="24"/>
        </w:rPr>
        <w:t>Area P.O.:</w:t>
      </w:r>
      <w:r w:rsidRPr="005C5EE1"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5C5EE1">
        <w:rPr>
          <w:rFonts w:ascii="Times New Roman" w:eastAsia="Times New Roman" w:hAnsi="Times New Roman" w:cs="Times New Roman"/>
          <w:i/>
          <w:szCs w:val="24"/>
        </w:rPr>
        <w:t>Manutenzioni</w:t>
      </w:r>
    </w:p>
    <w:p w14:paraId="37C484BF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5C5EE1">
        <w:rPr>
          <w:rFonts w:ascii="Times New Roman" w:eastAsia="Times New Roman" w:hAnsi="Times New Roman" w:cs="Times New Roman"/>
          <w:i/>
          <w:iCs/>
          <w:szCs w:val="24"/>
        </w:rPr>
        <w:t xml:space="preserve">Via </w:t>
      </w:r>
      <w:proofErr w:type="spellStart"/>
      <w:r w:rsidRPr="005C5EE1">
        <w:rPr>
          <w:rFonts w:ascii="Times New Roman" w:eastAsia="Times New Roman" w:hAnsi="Times New Roman" w:cs="Times New Roman"/>
          <w:i/>
          <w:iCs/>
          <w:szCs w:val="24"/>
        </w:rPr>
        <w:t>Scorzello</w:t>
      </w:r>
      <w:proofErr w:type="spellEnd"/>
      <w:r w:rsidRPr="005C5EE1">
        <w:rPr>
          <w:rFonts w:ascii="Times New Roman" w:eastAsia="Times New Roman" w:hAnsi="Times New Roman" w:cs="Times New Roman"/>
          <w:i/>
          <w:iCs/>
          <w:szCs w:val="24"/>
        </w:rPr>
        <w:t xml:space="preserve">, 4 - 84047 Capaccio Paestum (SA) </w:t>
      </w:r>
    </w:p>
    <w:p w14:paraId="09256DC1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5C5EE1">
        <w:rPr>
          <w:rFonts w:ascii="Times New Roman" w:eastAsia="Times New Roman" w:hAnsi="Times New Roman" w:cs="Times New Roman"/>
          <w:i/>
          <w:iCs/>
          <w:szCs w:val="24"/>
        </w:rPr>
        <w:t>C.F. 81001170653 – P.IVA 00753770650</w:t>
      </w:r>
    </w:p>
    <w:p w14:paraId="7BF03AD5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5C5EE1">
        <w:rPr>
          <w:rFonts w:ascii="Times New Roman" w:eastAsia="Times New Roman" w:hAnsi="Times New Roman" w:cs="Times New Roman"/>
          <w:i/>
          <w:iCs/>
          <w:szCs w:val="24"/>
        </w:rPr>
        <w:t xml:space="preserve">Tel.+39 (0828) 812.222 - Fax +39 (0828) 812.239  </w:t>
      </w:r>
    </w:p>
    <w:p w14:paraId="3981F012" w14:textId="4E51DED7" w:rsidR="00B60807" w:rsidRDefault="00B60807" w:rsidP="00B60807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bookmarkEnd w:id="0"/>
    <w:p w14:paraId="7839C522" w14:textId="77777777" w:rsidR="005C5EE1" w:rsidRPr="005C5EE1" w:rsidRDefault="00B60807" w:rsidP="005C5EE1">
      <w:pPr>
        <w:shd w:val="clear" w:color="auto" w:fill="4472C4"/>
        <w:jc w:val="center"/>
        <w:rPr>
          <w:b/>
          <w:color w:val="FFFFFF"/>
          <w:sz w:val="20"/>
        </w:rPr>
      </w:pPr>
      <w:r>
        <w:rPr>
          <w:b/>
          <w:color w:val="FFFFFF"/>
          <w:sz w:val="20"/>
        </w:rPr>
        <w:t xml:space="preserve">OGGETTO: </w:t>
      </w:r>
      <w:r w:rsidR="005C5EE1" w:rsidRPr="005C5EE1">
        <w:rPr>
          <w:b/>
          <w:color w:val="FFFFFF"/>
          <w:sz w:val="20"/>
        </w:rPr>
        <w:t>PROCEDURA TELEMATICA APERTA PER L’APPALTO DI LAVORI PER</w:t>
      </w:r>
    </w:p>
    <w:p w14:paraId="1CD344FD" w14:textId="5B4C9E17" w:rsidR="00B60807" w:rsidRDefault="005C5EE1" w:rsidP="005C5EE1">
      <w:pPr>
        <w:shd w:val="clear" w:color="auto" w:fill="4472C4"/>
        <w:jc w:val="center"/>
        <w:rPr>
          <w:b/>
          <w:color w:val="FFFFFF"/>
          <w:sz w:val="20"/>
        </w:rPr>
      </w:pPr>
      <w:r w:rsidRPr="005C5EE1">
        <w:rPr>
          <w:b/>
          <w:color w:val="FFFFFF"/>
          <w:sz w:val="20"/>
        </w:rPr>
        <w:t>“LAVORI DI SISTEMAZIONE E MESSA IN SICUREZZA DELLA PIAZZETTA DI CAPO DI FIUME”</w:t>
      </w:r>
    </w:p>
    <w:p w14:paraId="1C21D9A4" w14:textId="77777777" w:rsidR="00BA1628" w:rsidRDefault="00B60807" w:rsidP="00BA1628">
      <w:pPr>
        <w:shd w:val="clear" w:color="auto" w:fill="4472C4"/>
        <w:jc w:val="center"/>
        <w:rPr>
          <w:b/>
          <w:color w:val="FFFFFF"/>
          <w:sz w:val="20"/>
        </w:rPr>
      </w:pPr>
      <w:r>
        <w:rPr>
          <w:b/>
          <w:color w:val="FFFFFF"/>
          <w:sz w:val="20"/>
        </w:rPr>
        <w:t xml:space="preserve">CUP: </w:t>
      </w:r>
      <w:r w:rsidR="005C5EE1" w:rsidRPr="005C5EE1">
        <w:rPr>
          <w:b/>
          <w:color w:val="FFFFFF"/>
          <w:sz w:val="20"/>
        </w:rPr>
        <w:t>H44H23000270009</w:t>
      </w:r>
      <w:r>
        <w:rPr>
          <w:b/>
          <w:color w:val="FFFFFF"/>
          <w:sz w:val="20"/>
        </w:rPr>
        <w:t xml:space="preserve"> </w:t>
      </w:r>
      <w:bookmarkStart w:id="1" w:name="_GoBack"/>
      <w:bookmarkEnd w:id="1"/>
      <w:r w:rsidRPr="00BA1628">
        <w:rPr>
          <w:b/>
          <w:color w:val="FFFFFF"/>
          <w:sz w:val="20"/>
        </w:rPr>
        <w:t xml:space="preserve">- CIG: </w:t>
      </w:r>
      <w:r w:rsidR="00BA1628" w:rsidRPr="00BA1628">
        <w:rPr>
          <w:b/>
          <w:color w:val="FFFFFF"/>
          <w:sz w:val="20"/>
        </w:rPr>
        <w:t>B0C067A217</w:t>
      </w:r>
    </w:p>
    <w:p w14:paraId="472ABBBE" w14:textId="1C5FA3F6" w:rsidR="00E442E3" w:rsidRDefault="00E442E3" w:rsidP="00BA1628">
      <w:pPr>
        <w:shd w:val="clear" w:color="auto" w:fill="4472C4"/>
        <w:jc w:val="center"/>
        <w:rPr>
          <w:b/>
          <w:color w:val="FFFFFF"/>
          <w:sz w:val="20"/>
        </w:rPr>
      </w:pPr>
      <w:r w:rsidRPr="00E442E3">
        <w:rPr>
          <w:b/>
          <w:color w:val="FFFFFF"/>
          <w:sz w:val="20"/>
        </w:rPr>
        <w:t xml:space="preserve">Allegato B – Dichiarazione ai sensi dell’art. 94 del </w:t>
      </w:r>
      <w:proofErr w:type="spellStart"/>
      <w:proofErr w:type="gramStart"/>
      <w:r w:rsidRPr="00E442E3">
        <w:rPr>
          <w:b/>
          <w:color w:val="FFFFFF"/>
          <w:sz w:val="20"/>
        </w:rPr>
        <w:t>D.Lgs</w:t>
      </w:r>
      <w:proofErr w:type="gramEnd"/>
      <w:r w:rsidRPr="00E442E3">
        <w:rPr>
          <w:b/>
          <w:color w:val="FFFFFF"/>
          <w:sz w:val="20"/>
        </w:rPr>
        <w:t>.</w:t>
      </w:r>
      <w:proofErr w:type="spellEnd"/>
      <w:r w:rsidRPr="00E442E3">
        <w:rPr>
          <w:b/>
          <w:color w:val="FFFFFF"/>
          <w:sz w:val="20"/>
        </w:rPr>
        <w:t xml:space="preserve"> 36/2023</w:t>
      </w:r>
    </w:p>
    <w:p w14:paraId="0F6850E6" w14:textId="77777777" w:rsidR="00E442E3" w:rsidRDefault="00E442E3">
      <w:pPr>
        <w:shd w:val="clear" w:color="auto" w:fill="4472C4" w:themeFill="accent5"/>
        <w:jc w:val="both"/>
        <w:rPr>
          <w:b/>
          <w:color w:val="FFFFFF"/>
          <w:sz w:val="20"/>
        </w:rPr>
      </w:pPr>
    </w:p>
    <w:p w14:paraId="1FCC1465" w14:textId="77777777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>Le dichiarazioni sostitutive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>
      <w:pPr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>
      <w:pPr>
        <w:jc w:val="both"/>
        <w:rPr>
          <w:sz w:val="20"/>
          <w:szCs w:val="20"/>
        </w:rPr>
      </w:pPr>
    </w:p>
    <w:p w14:paraId="5C5C2414" w14:textId="77777777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  <w:r w:rsidRPr="006533B7">
        <w:rPr>
          <w:rStyle w:val="Richiamoallanotaapidipagina"/>
          <w:sz w:val="20"/>
          <w:szCs w:val="20"/>
        </w:rPr>
        <w:footnoteReference w:id="1"/>
      </w:r>
    </w:p>
    <w:p w14:paraId="55E0FE30" w14:textId="77777777" w:rsidR="00C41162" w:rsidRPr="00634E40" w:rsidRDefault="00184306">
      <w:pPr>
        <w:jc w:val="both"/>
        <w:rPr>
          <w:b/>
          <w:bCs/>
          <w:sz w:val="20"/>
          <w:szCs w:val="20"/>
        </w:rPr>
      </w:pPr>
      <w:r w:rsidRPr="00634E40">
        <w:rPr>
          <w:b/>
          <w:bCs/>
          <w:sz w:val="20"/>
          <w:szCs w:val="20"/>
        </w:rPr>
        <w:lastRenderedPageBreak/>
        <w:t xml:space="preserve">nella sua qualifica di: </w:t>
      </w:r>
    </w:p>
    <w:p w14:paraId="338458FF" w14:textId="1DBFF1E5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0B24E1AC" w14:textId="77777777" w:rsidR="00C41162" w:rsidRPr="006533B7" w:rsidRDefault="00C41162">
      <w:pPr>
        <w:jc w:val="both"/>
        <w:rPr>
          <w:i/>
          <w:sz w:val="20"/>
          <w:szCs w:val="20"/>
        </w:rPr>
      </w:pPr>
    </w:p>
    <w:p w14:paraId="4B79A801" w14:textId="77777777" w:rsidR="00E442E3" w:rsidRDefault="00E442E3" w:rsidP="00E442E3">
      <w:pPr>
        <w:tabs>
          <w:tab w:val="left" w:pos="1120"/>
          <w:tab w:val="left" w:pos="1300"/>
          <w:tab w:val="left" w:pos="1640"/>
          <w:tab w:val="left" w:pos="2080"/>
        </w:tabs>
        <w:ind w:left="284" w:right="-142"/>
        <w:jc w:val="center"/>
        <w:rPr>
          <w:rFonts w:ascii="Calibri" w:hAnsi="Calibri" w:cs="Calibri"/>
          <w:b/>
          <w:i/>
          <w:sz w:val="20"/>
          <w:u w:val="single"/>
        </w:rPr>
      </w:pPr>
      <w:bookmarkStart w:id="2" w:name="_Hlk146812156"/>
      <w:r w:rsidRPr="001322E8">
        <w:rPr>
          <w:rFonts w:ascii="Calibri" w:hAnsi="Calibri" w:cs="Calibri"/>
          <w:b/>
          <w:i/>
          <w:sz w:val="20"/>
          <w:u w:val="single"/>
        </w:rPr>
        <w:t>ATTESTA E DICHIARA:</w:t>
      </w:r>
    </w:p>
    <w:p w14:paraId="152F1492" w14:textId="77777777" w:rsidR="00E442E3" w:rsidRPr="001322E8" w:rsidRDefault="00E442E3" w:rsidP="00E442E3">
      <w:pPr>
        <w:tabs>
          <w:tab w:val="left" w:pos="1120"/>
          <w:tab w:val="left" w:pos="1300"/>
          <w:tab w:val="left" w:pos="1640"/>
          <w:tab w:val="left" w:pos="2080"/>
        </w:tabs>
        <w:ind w:left="284" w:right="-142"/>
        <w:jc w:val="center"/>
        <w:rPr>
          <w:rFonts w:ascii="Calibri" w:hAnsi="Calibri" w:cs="Calibri"/>
          <w:b/>
          <w:i/>
          <w:sz w:val="20"/>
          <w:u w:val="single"/>
        </w:rPr>
      </w:pPr>
    </w:p>
    <w:p w14:paraId="4A34CF39" w14:textId="77777777" w:rsidR="00E442E3" w:rsidRPr="001322E8" w:rsidRDefault="00E442E3" w:rsidP="00E442E3">
      <w:pPr>
        <w:ind w:right="-142"/>
        <w:jc w:val="center"/>
        <w:rPr>
          <w:rFonts w:ascii="Calibri" w:hAnsi="Calibri" w:cs="Calibri"/>
          <w:b/>
          <w:i/>
          <w:sz w:val="20"/>
          <w:u w:val="single"/>
        </w:rPr>
      </w:pPr>
      <w:r w:rsidRPr="001322E8">
        <w:rPr>
          <w:rFonts w:ascii="Calibri" w:hAnsi="Calibri" w:cs="Calibri"/>
          <w:b/>
          <w:sz w:val="20"/>
        </w:rPr>
        <w:t xml:space="preserve">DI NON TROVARSI NELLE CONDIZIONI PREVISTE DALL’ARTICOLO </w:t>
      </w:r>
      <w:r w:rsidRPr="00D0721B">
        <w:rPr>
          <w:rFonts w:ascii="Calibri" w:hAnsi="Calibri" w:cs="Calibri"/>
          <w:b/>
          <w:sz w:val="20"/>
        </w:rPr>
        <w:t xml:space="preserve">94 del </w:t>
      </w:r>
      <w:proofErr w:type="spellStart"/>
      <w:r w:rsidRPr="00D0721B">
        <w:rPr>
          <w:rFonts w:ascii="Calibri" w:hAnsi="Calibri" w:cs="Calibri"/>
          <w:b/>
          <w:sz w:val="20"/>
        </w:rPr>
        <w:t>D.lgs</w:t>
      </w:r>
      <w:proofErr w:type="spellEnd"/>
      <w:r w:rsidRPr="00D0721B">
        <w:rPr>
          <w:rFonts w:ascii="Calibri" w:hAnsi="Calibri" w:cs="Calibri"/>
          <w:b/>
          <w:sz w:val="20"/>
        </w:rPr>
        <w:t xml:space="preserve"> N°36/</w:t>
      </w:r>
      <w:r>
        <w:rPr>
          <w:rFonts w:ascii="Calibri" w:hAnsi="Calibri" w:cs="Calibri"/>
          <w:b/>
          <w:sz w:val="20"/>
        </w:rPr>
        <w:t>2023</w:t>
      </w:r>
      <w:r w:rsidRPr="001322E8">
        <w:rPr>
          <w:rFonts w:ascii="Calibri" w:hAnsi="Calibri" w:cs="Calibri"/>
          <w:b/>
          <w:sz w:val="20"/>
        </w:rPr>
        <w:t>, e precisamente;</w:t>
      </w:r>
    </w:p>
    <w:p w14:paraId="66FEA1A9" w14:textId="77777777" w:rsidR="00E442E3" w:rsidRPr="001322E8" w:rsidRDefault="00E442E3" w:rsidP="00E442E3">
      <w:pPr>
        <w:numPr>
          <w:ilvl w:val="0"/>
          <w:numId w:val="11"/>
        </w:numPr>
        <w:tabs>
          <w:tab w:val="clear" w:pos="1579"/>
        </w:tabs>
        <w:suppressAutoHyphens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b/>
          <w:sz w:val="20"/>
        </w:rPr>
        <w:t>di non aver commesso</w:t>
      </w:r>
      <w:r w:rsidRPr="001322E8">
        <w:rPr>
          <w:rFonts w:ascii="Calibri" w:hAnsi="Calibri" w:cs="Calibri"/>
          <w:sz w:val="20"/>
        </w:rPr>
        <w:t xml:space="preserve"> </w:t>
      </w:r>
      <w:r w:rsidRPr="002351B3">
        <w:rPr>
          <w:rFonts w:ascii="Calibri" w:hAnsi="Calibri" w:cs="Calibri"/>
          <w:sz w:val="20"/>
        </w:rPr>
        <w:t>delitti, consumati o tentati, di cui agli </w:t>
      </w:r>
      <w:hyperlink r:id="rId8" w:anchor="416" w:history="1">
        <w:r w:rsidRPr="002351B3">
          <w:rPr>
            <w:rStyle w:val="Collegamentoipertestuale"/>
            <w:rFonts w:ascii="Calibri" w:hAnsi="Calibri" w:cs="Calibri"/>
          </w:rPr>
          <w:t>articoli 416, 416-bis del codice penale</w:t>
        </w:r>
      </w:hyperlink>
      <w:r w:rsidRPr="002351B3">
        <w:rPr>
          <w:rFonts w:ascii="Calibri" w:hAnsi="Calibri" w:cs="Calibri"/>
          <w:sz w:val="20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9" w:anchor="1990_0309_74" w:history="1">
        <w:r w:rsidRPr="002351B3">
          <w:rPr>
            <w:rStyle w:val="Collegamentoipertestuale"/>
            <w:rFonts w:ascii="Calibri" w:hAnsi="Calibri" w:cs="Calibri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2351B3">
        <w:rPr>
          <w:rFonts w:ascii="Calibri" w:hAnsi="Calibri" w:cs="Calibri"/>
          <w:sz w:val="20"/>
        </w:rPr>
        <w:t>, dall'articolo </w:t>
      </w:r>
      <w:hyperlink r:id="rId10" w:anchor="1973_0043_291-quater" w:history="1">
        <w:r w:rsidRPr="002351B3">
          <w:rPr>
            <w:rStyle w:val="Collegamentoipertestuale"/>
            <w:rFonts w:ascii="Calibri" w:hAnsi="Calibri" w:cs="Calibri"/>
          </w:rPr>
          <w:t>291-quater del testo unico delle disposizioni legislative in materia doganale, di cui al decreto del Presidente della Repubblica 23 gennaio 1973, n. 43</w:t>
        </w:r>
      </w:hyperlink>
      <w:r w:rsidRPr="002351B3">
        <w:rPr>
          <w:rFonts w:ascii="Calibri" w:hAnsi="Calibri" w:cs="Calibri"/>
          <w:sz w:val="20"/>
        </w:rPr>
        <w:t> e dall'</w:t>
      </w:r>
      <w:hyperlink r:id="rId11" w:anchor="452-quardiecies" w:history="1">
        <w:r w:rsidRPr="002351B3">
          <w:rPr>
            <w:rStyle w:val="Collegamentoipertestuale"/>
            <w:rFonts w:ascii="Calibri" w:hAnsi="Calibri" w:cs="Calibri"/>
          </w:rPr>
          <w:t>articolo 452-quaterdieces del codice penal</w:t>
        </w:r>
      </w:hyperlink>
      <w:r w:rsidRPr="002351B3">
        <w:rPr>
          <w:rFonts w:ascii="Calibri" w:hAnsi="Calibri" w:cs="Calibri"/>
          <w:sz w:val="20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518CB612" w14:textId="77777777" w:rsidR="00E442E3" w:rsidRDefault="00E442E3" w:rsidP="00E442E3">
      <w:pPr>
        <w:numPr>
          <w:ilvl w:val="0"/>
          <w:numId w:val="11"/>
        </w:numPr>
        <w:tabs>
          <w:tab w:val="clear" w:pos="157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b/>
          <w:sz w:val="20"/>
        </w:rPr>
        <w:t>di non aver commesso delitti</w:t>
      </w:r>
      <w:r w:rsidRPr="001322E8">
        <w:rPr>
          <w:rFonts w:ascii="Calibri" w:hAnsi="Calibri" w:cs="Calibri"/>
          <w:sz w:val="20"/>
        </w:rPr>
        <w:t xml:space="preserve">, </w:t>
      </w:r>
      <w:r w:rsidRPr="002351B3">
        <w:rPr>
          <w:rFonts w:ascii="Calibri" w:hAnsi="Calibri" w:cs="Calibri"/>
          <w:sz w:val="20"/>
        </w:rPr>
        <w:t>delitti, consumati o tentati, di cui agli </w:t>
      </w:r>
      <w:hyperlink r:id="rId12" w:anchor="317" w:history="1">
        <w:r w:rsidRPr="002351B3">
          <w:rPr>
            <w:rStyle w:val="Collegamentoipertestuale"/>
            <w:rFonts w:ascii="Calibri" w:hAnsi="Calibri" w:cs="Calibri"/>
          </w:rPr>
          <w:t>articoli 317, 318, 319, 319-ter, 319-quater, 320, 321, 322, 322-bis</w:t>
        </w:r>
      </w:hyperlink>
      <w:r w:rsidRPr="002351B3">
        <w:rPr>
          <w:rFonts w:ascii="Calibri" w:hAnsi="Calibri" w:cs="Calibri"/>
          <w:sz w:val="20"/>
        </w:rPr>
        <w:t>, </w:t>
      </w:r>
      <w:hyperlink r:id="rId13" w:anchor="346-bis" w:history="1">
        <w:r w:rsidRPr="002351B3">
          <w:rPr>
            <w:rStyle w:val="Collegamentoipertestuale"/>
            <w:rFonts w:ascii="Calibri" w:hAnsi="Calibri" w:cs="Calibri"/>
          </w:rPr>
          <w:t>346-bis</w:t>
        </w:r>
      </w:hyperlink>
      <w:r w:rsidRPr="002351B3">
        <w:rPr>
          <w:rFonts w:ascii="Calibri" w:hAnsi="Calibri" w:cs="Calibri"/>
          <w:sz w:val="20"/>
        </w:rPr>
        <w:t>, </w:t>
      </w:r>
      <w:hyperlink r:id="rId14" w:anchor="353" w:history="1">
        <w:r w:rsidRPr="002351B3">
          <w:rPr>
            <w:rStyle w:val="Collegamentoipertestuale"/>
            <w:rFonts w:ascii="Calibri" w:hAnsi="Calibri" w:cs="Calibri"/>
          </w:rPr>
          <w:t>353, 353-bis, 354, 355 e 356 del codice penale</w:t>
        </w:r>
      </w:hyperlink>
      <w:r w:rsidRPr="002351B3">
        <w:rPr>
          <w:rFonts w:ascii="Calibri" w:hAnsi="Calibri" w:cs="Calibri"/>
          <w:sz w:val="20"/>
        </w:rPr>
        <w:t> nonché all'</w:t>
      </w:r>
      <w:hyperlink r:id="rId15" w:anchor="2635" w:history="1">
        <w:r w:rsidRPr="002351B3">
          <w:rPr>
            <w:rStyle w:val="Collegamentoipertestuale"/>
            <w:rFonts w:ascii="Calibri" w:hAnsi="Calibri" w:cs="Calibri"/>
          </w:rPr>
          <w:t>articolo 2635 del codice civile</w:t>
        </w:r>
      </w:hyperlink>
      <w:r w:rsidRPr="001322E8">
        <w:rPr>
          <w:rFonts w:ascii="Calibri" w:hAnsi="Calibri" w:cs="Calibri"/>
          <w:sz w:val="20"/>
        </w:rPr>
        <w:t>;</w:t>
      </w:r>
    </w:p>
    <w:p w14:paraId="1E31BD0A" w14:textId="77777777" w:rsidR="00E442E3" w:rsidRPr="001322E8" w:rsidRDefault="00E442E3" w:rsidP="00E442E3">
      <w:pPr>
        <w:numPr>
          <w:ilvl w:val="0"/>
          <w:numId w:val="11"/>
        </w:numPr>
        <w:tabs>
          <w:tab w:val="clear" w:pos="157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di non aver commesso</w:t>
      </w:r>
      <w:r w:rsidRPr="00773FD5">
        <w:rPr>
          <w:rFonts w:ascii="Calibri" w:hAnsi="Calibri" w:cs="Calibri"/>
          <w:b/>
          <w:bCs/>
          <w:sz w:val="20"/>
        </w:rPr>
        <w:t xml:space="preserve"> false comunicazioni sociali di cui agli </w:t>
      </w:r>
      <w:hyperlink r:id="rId16" w:anchor="2621" w:history="1">
        <w:r w:rsidRPr="00AA3CAC">
          <w:rPr>
            <w:rStyle w:val="Collegamentoipertestuale"/>
            <w:rFonts w:ascii="Calibri" w:hAnsi="Calibri" w:cs="Calibri"/>
            <w:bCs/>
          </w:rPr>
          <w:t>articoli 2621 e 2622 del codice civile</w:t>
        </w:r>
      </w:hyperlink>
      <w:r w:rsidRPr="00773FD5">
        <w:rPr>
          <w:rFonts w:ascii="Calibri" w:hAnsi="Calibri" w:cs="Calibri"/>
          <w:b/>
          <w:bCs/>
          <w:sz w:val="20"/>
        </w:rPr>
        <w:t>;</w:t>
      </w:r>
    </w:p>
    <w:p w14:paraId="752DDCB4" w14:textId="77777777" w:rsidR="00E442E3" w:rsidRPr="001322E8" w:rsidRDefault="00E442E3" w:rsidP="00E442E3">
      <w:pPr>
        <w:numPr>
          <w:ilvl w:val="0"/>
          <w:numId w:val="11"/>
        </w:numPr>
        <w:tabs>
          <w:tab w:val="clear" w:pos="157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b/>
          <w:sz w:val="20"/>
        </w:rPr>
        <w:t>di non aver commesso frode</w:t>
      </w:r>
      <w:r w:rsidRPr="001322E8">
        <w:rPr>
          <w:rFonts w:ascii="Calibri" w:hAnsi="Calibri" w:cs="Calibri"/>
          <w:sz w:val="20"/>
        </w:rPr>
        <w:t xml:space="preserve"> ai sensi dell'articolo 1 della convenzione relativa alla tutela degli interessi finanziari delle Comunità europee</w:t>
      </w:r>
      <w:r>
        <w:rPr>
          <w:rFonts w:ascii="Calibri" w:hAnsi="Calibri" w:cs="Calibri"/>
          <w:sz w:val="20"/>
        </w:rPr>
        <w:t xml:space="preserve"> </w:t>
      </w:r>
      <w:r w:rsidRPr="002351B3">
        <w:rPr>
          <w:rFonts w:ascii="Calibri" w:hAnsi="Calibri" w:cs="Calibri"/>
          <w:sz w:val="20"/>
        </w:rPr>
        <w:t>del 26 luglio 1995</w:t>
      </w:r>
      <w:r w:rsidRPr="001322E8">
        <w:rPr>
          <w:rFonts w:ascii="Calibri" w:hAnsi="Calibri" w:cs="Calibri"/>
          <w:sz w:val="20"/>
        </w:rPr>
        <w:t>;</w:t>
      </w:r>
    </w:p>
    <w:p w14:paraId="7B78EECE" w14:textId="77777777" w:rsidR="00E442E3" w:rsidRPr="001322E8" w:rsidRDefault="00E442E3" w:rsidP="00E442E3">
      <w:pPr>
        <w:numPr>
          <w:ilvl w:val="0"/>
          <w:numId w:val="11"/>
        </w:numPr>
        <w:tabs>
          <w:tab w:val="clear" w:pos="157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b/>
          <w:sz w:val="20"/>
        </w:rPr>
        <w:t>di non aver commesso delitti</w:t>
      </w:r>
      <w:r w:rsidRPr="001322E8">
        <w:rPr>
          <w:rFonts w:ascii="Calibri" w:hAnsi="Calibri" w:cs="Calibri"/>
          <w:sz w:val="20"/>
        </w:rPr>
        <w:t>, consumati o tentati, commessi con finalità di terrorismo, anche internazionale, e di eversione dell'ordine costituzionale reati terroristici o reati connessi alle attività terroristiche;</w:t>
      </w:r>
    </w:p>
    <w:p w14:paraId="696E5A22" w14:textId="77777777" w:rsidR="00E442E3" w:rsidRPr="001322E8" w:rsidRDefault="00E442E3" w:rsidP="00E442E3">
      <w:pPr>
        <w:numPr>
          <w:ilvl w:val="0"/>
          <w:numId w:val="11"/>
        </w:numPr>
        <w:tabs>
          <w:tab w:val="clear" w:pos="157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b/>
          <w:sz w:val="20"/>
        </w:rPr>
        <w:t>di non aver commesso delitti</w:t>
      </w:r>
      <w:r w:rsidRPr="001322E8">
        <w:rPr>
          <w:rFonts w:ascii="Calibri" w:hAnsi="Calibri" w:cs="Calibri"/>
          <w:sz w:val="20"/>
        </w:rPr>
        <w:t xml:space="preserve"> di cui agli articoli 648-bis, 648-ter e 648-ter.1 del codice penale, riciclaggio di proventi di attività criminose o finanziamento del terrorismo, quali definiti all'articolo 1 del decreto legislativo 22 giugno 2007, n°109 e successive modificazioni;</w:t>
      </w:r>
    </w:p>
    <w:p w14:paraId="4984A996" w14:textId="77777777" w:rsidR="00E442E3" w:rsidRPr="001322E8" w:rsidRDefault="00E442E3" w:rsidP="00E442E3">
      <w:pPr>
        <w:numPr>
          <w:ilvl w:val="0"/>
          <w:numId w:val="11"/>
        </w:numPr>
        <w:tabs>
          <w:tab w:val="clear" w:pos="157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b/>
          <w:sz w:val="20"/>
        </w:rPr>
        <w:t>di non aver commesso reati</w:t>
      </w:r>
      <w:r w:rsidRPr="001322E8">
        <w:rPr>
          <w:rFonts w:ascii="Calibri" w:hAnsi="Calibri" w:cs="Calibri"/>
          <w:sz w:val="20"/>
        </w:rPr>
        <w:t xml:space="preserve"> di sfruttamento del lavoro minorile e altre forme di tratta di esseri umani definite con il decreto legislativo 4 marzo 2014, n°24;</w:t>
      </w:r>
    </w:p>
    <w:p w14:paraId="016AB42A" w14:textId="77777777" w:rsidR="00E442E3" w:rsidRPr="001322E8" w:rsidRDefault="00E442E3" w:rsidP="00E442E3">
      <w:pPr>
        <w:numPr>
          <w:ilvl w:val="0"/>
          <w:numId w:val="11"/>
        </w:numPr>
        <w:tabs>
          <w:tab w:val="clear" w:pos="157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b/>
          <w:sz w:val="20"/>
        </w:rPr>
        <w:t>di non aver commesso ogni altro delitto</w:t>
      </w:r>
      <w:r w:rsidRPr="001322E8">
        <w:rPr>
          <w:rFonts w:ascii="Calibri" w:hAnsi="Calibri" w:cs="Calibri"/>
          <w:sz w:val="20"/>
        </w:rPr>
        <w:t xml:space="preserve"> da cui derivi, quale pena accessoria, l'incapacità di contrattare con la pubblica amministrazione;</w:t>
      </w:r>
    </w:p>
    <w:p w14:paraId="758E6C79" w14:textId="77777777" w:rsidR="00E442E3" w:rsidRPr="00D0721B" w:rsidRDefault="00E442E3" w:rsidP="00E442E3">
      <w:pPr>
        <w:pStyle w:val="sche3"/>
        <w:numPr>
          <w:ilvl w:val="0"/>
          <w:numId w:val="10"/>
        </w:numPr>
        <w:spacing w:before="120"/>
        <w:ind w:left="426" w:hanging="437"/>
        <w:rPr>
          <w:rFonts w:ascii="Calibri" w:hAnsi="Calibri" w:cs="Calibri"/>
          <w:lang w:val="it-IT"/>
        </w:rPr>
      </w:pPr>
      <w:r w:rsidRPr="00D0721B">
        <w:rPr>
          <w:rFonts w:ascii="Calibri" w:hAnsi="Calibri" w:cs="Calibri"/>
          <w:lang w:val="it-IT"/>
        </w:rPr>
        <w:t>che nei propri confronti non sono state emesse condanne penali comprese quelle per le quali</w:t>
      </w:r>
      <w:r w:rsidRPr="00EE6672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D0721B">
        <w:rPr>
          <w:rFonts w:ascii="Calibri" w:hAnsi="Calibri" w:cs="Calibri"/>
          <w:lang w:val="it-IT"/>
        </w:rPr>
        <w:t>abbia beneficiato della non menzione;</w:t>
      </w:r>
    </w:p>
    <w:p w14:paraId="73E44728" w14:textId="77777777" w:rsidR="00E442E3" w:rsidRPr="00D0721B" w:rsidRDefault="00E442E3" w:rsidP="00E442E3">
      <w:pPr>
        <w:pStyle w:val="sche3"/>
        <w:spacing w:before="120"/>
        <w:ind w:hanging="142"/>
        <w:rPr>
          <w:rFonts w:ascii="Calibri" w:hAnsi="Calibri" w:cs="Calibri"/>
          <w:b/>
          <w:i/>
          <w:lang w:val="it-IT"/>
        </w:rPr>
      </w:pPr>
      <w:r w:rsidRPr="00D0721B">
        <w:rPr>
          <w:rFonts w:ascii="Calibri" w:hAnsi="Calibri" w:cs="Calibri"/>
          <w:b/>
          <w:i/>
          <w:lang w:val="it-IT"/>
        </w:rPr>
        <w:lastRenderedPageBreak/>
        <w:tab/>
        <w:t>oppure</w:t>
      </w:r>
    </w:p>
    <w:p w14:paraId="178AAFD0" w14:textId="77777777" w:rsidR="00E442E3" w:rsidRPr="00D0721B" w:rsidRDefault="00E442E3" w:rsidP="00E442E3">
      <w:pPr>
        <w:pStyle w:val="sche3"/>
        <w:spacing w:before="120"/>
        <w:ind w:left="425"/>
        <w:rPr>
          <w:rFonts w:ascii="Calibri" w:hAnsi="Calibri" w:cs="Calibri"/>
          <w:lang w:val="it-IT"/>
        </w:rPr>
      </w:pPr>
      <w:r w:rsidRPr="00D0721B">
        <w:rPr>
          <w:rFonts w:ascii="Calibri" w:hAnsi="Calibri" w:cs="Calibri"/>
          <w:lang w:val="it-IT"/>
        </w:rPr>
        <w:t>di aver riportato le seguenti condanne penali comprese quelle per le quali ha beneficiato della non menzione</w:t>
      </w:r>
    </w:p>
    <w:p w14:paraId="3E876FCA" w14:textId="77777777" w:rsidR="00E442E3" w:rsidRPr="00D0721B" w:rsidRDefault="00E442E3" w:rsidP="00E442E3">
      <w:pPr>
        <w:pStyle w:val="sche3"/>
        <w:ind w:left="426"/>
        <w:rPr>
          <w:rFonts w:ascii="Calibri" w:hAnsi="Calibri" w:cs="Calibri"/>
          <w:lang w:val="it-IT"/>
        </w:rPr>
      </w:pPr>
      <w:r w:rsidRPr="00D0721B">
        <w:rPr>
          <w:rFonts w:ascii="Calibri" w:hAnsi="Calibri" w:cs="Calibri"/>
          <w:lang w:val="it-IT"/>
        </w:rPr>
        <w:t>_______________________________________________________________________________</w:t>
      </w:r>
    </w:p>
    <w:p w14:paraId="6CD87F2F" w14:textId="77777777" w:rsidR="00E442E3" w:rsidRPr="001322E8" w:rsidRDefault="00E442E3" w:rsidP="00E442E3">
      <w:pPr>
        <w:pStyle w:val="sche3"/>
        <w:numPr>
          <w:ilvl w:val="0"/>
          <w:numId w:val="12"/>
        </w:numPr>
        <w:spacing w:before="120"/>
        <w:ind w:left="426" w:hanging="426"/>
        <w:rPr>
          <w:rFonts w:ascii="Calibri" w:hAnsi="Calibri" w:cs="Calibri"/>
          <w:lang w:val="it-IT"/>
        </w:rPr>
      </w:pPr>
      <w:r w:rsidRPr="001322E8">
        <w:rPr>
          <w:rFonts w:ascii="Calibri" w:hAnsi="Calibri" w:cs="Calibri"/>
          <w:lang w:val="it-IT"/>
        </w:rPr>
        <w:t xml:space="preserve">che nei propri confronti non sono state applicate le misure di prevenzione della sorveglianza di cui all’articolo 6 del </w:t>
      </w:r>
      <w:proofErr w:type="spellStart"/>
      <w:r w:rsidRPr="001322E8">
        <w:rPr>
          <w:rFonts w:ascii="Calibri" w:hAnsi="Calibri" w:cs="Calibri"/>
          <w:lang w:val="it-IT"/>
        </w:rPr>
        <w:t>D.lgs</w:t>
      </w:r>
      <w:proofErr w:type="spellEnd"/>
      <w:r w:rsidRPr="001322E8">
        <w:rPr>
          <w:rFonts w:ascii="Calibri" w:hAnsi="Calibri" w:cs="Calibri"/>
          <w:lang w:val="it-IT"/>
        </w:rPr>
        <w:t xml:space="preserve"> 06.09.2011, n°159 e successive, e che, negli ultimi cinque anni, non sono stati estesi gli effetti di tali misure irrogate nei confronti di un proprio convivente; </w:t>
      </w:r>
    </w:p>
    <w:p w14:paraId="48941001" w14:textId="77777777" w:rsidR="00E442E3" w:rsidRPr="001322E8" w:rsidRDefault="00E442E3" w:rsidP="00E442E3">
      <w:pPr>
        <w:tabs>
          <w:tab w:val="left" w:pos="1120"/>
          <w:tab w:val="left" w:pos="1300"/>
          <w:tab w:val="left" w:pos="1360"/>
          <w:tab w:val="left" w:pos="1640"/>
          <w:tab w:val="left" w:pos="2080"/>
          <w:tab w:val="left" w:pos="3828"/>
          <w:tab w:val="center" w:pos="4580"/>
          <w:tab w:val="center" w:pos="6280"/>
        </w:tabs>
        <w:ind w:left="443" w:right="-142" w:hanging="159"/>
        <w:jc w:val="both"/>
        <w:rPr>
          <w:rFonts w:ascii="Calibri" w:hAnsi="Calibri" w:cs="Calibri"/>
          <w:sz w:val="20"/>
        </w:rPr>
      </w:pPr>
    </w:p>
    <w:p w14:paraId="7336DFC9" w14:textId="77777777" w:rsidR="00E442E3" w:rsidRPr="001322E8" w:rsidRDefault="00E442E3" w:rsidP="00E442E3">
      <w:pPr>
        <w:tabs>
          <w:tab w:val="left" w:pos="1120"/>
          <w:tab w:val="left" w:pos="1300"/>
          <w:tab w:val="left" w:pos="1360"/>
          <w:tab w:val="left" w:pos="1640"/>
          <w:tab w:val="left" w:pos="2080"/>
          <w:tab w:val="left" w:pos="3828"/>
          <w:tab w:val="center" w:pos="4580"/>
          <w:tab w:val="center" w:pos="6280"/>
        </w:tabs>
        <w:ind w:left="443" w:right="-142" w:hanging="159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sz w:val="20"/>
        </w:rPr>
        <w:tab/>
        <w:t xml:space="preserve">____________________________ lì __________________ </w:t>
      </w:r>
      <w:r w:rsidRPr="001322E8">
        <w:rPr>
          <w:rFonts w:ascii="Calibri" w:hAnsi="Calibri" w:cs="Calibri"/>
          <w:sz w:val="20"/>
        </w:rPr>
        <w:tab/>
      </w:r>
    </w:p>
    <w:p w14:paraId="1B3411AA" w14:textId="77777777" w:rsidR="00E442E3" w:rsidRPr="001322E8" w:rsidRDefault="00E442E3" w:rsidP="00E442E3">
      <w:pPr>
        <w:ind w:left="443" w:right="-142" w:hanging="159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  <w:t>Firma</w:t>
      </w:r>
    </w:p>
    <w:p w14:paraId="3796731C" w14:textId="77777777" w:rsidR="00E442E3" w:rsidRPr="001322E8" w:rsidRDefault="00E442E3" w:rsidP="00E442E3">
      <w:pPr>
        <w:ind w:left="443" w:right="-142" w:hanging="159"/>
        <w:jc w:val="both"/>
        <w:rPr>
          <w:rFonts w:ascii="Calibri" w:hAnsi="Calibri" w:cs="Calibri"/>
          <w:sz w:val="20"/>
        </w:rPr>
      </w:pPr>
    </w:p>
    <w:p w14:paraId="21CAD689" w14:textId="77777777" w:rsidR="00E442E3" w:rsidRPr="001322E8" w:rsidRDefault="00E442E3" w:rsidP="00E442E3">
      <w:pPr>
        <w:tabs>
          <w:tab w:val="left" w:pos="1120"/>
          <w:tab w:val="left" w:pos="1300"/>
          <w:tab w:val="left" w:pos="1360"/>
          <w:tab w:val="left" w:pos="1640"/>
          <w:tab w:val="left" w:pos="2080"/>
          <w:tab w:val="left" w:pos="3828"/>
          <w:tab w:val="center" w:pos="4580"/>
          <w:tab w:val="center" w:pos="6280"/>
        </w:tabs>
        <w:ind w:left="443" w:right="-142" w:hanging="159"/>
        <w:jc w:val="both"/>
        <w:rPr>
          <w:rFonts w:ascii="Calibri" w:hAnsi="Calibri" w:cs="Calibri"/>
          <w:sz w:val="20"/>
        </w:rPr>
      </w:pP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</w:r>
      <w:r w:rsidRPr="001322E8">
        <w:rPr>
          <w:rFonts w:ascii="Calibri" w:hAnsi="Calibri" w:cs="Calibri"/>
          <w:sz w:val="20"/>
        </w:rPr>
        <w:tab/>
        <w:t xml:space="preserve">  </w:t>
      </w:r>
      <w:r w:rsidRPr="001322E8">
        <w:rPr>
          <w:rFonts w:ascii="Calibri" w:hAnsi="Calibri" w:cs="Calibri"/>
          <w:sz w:val="20"/>
        </w:rPr>
        <w:tab/>
        <w:t>_________________________________________</w:t>
      </w:r>
    </w:p>
    <w:p w14:paraId="61725ACC" w14:textId="77777777" w:rsidR="00E442E3" w:rsidRDefault="00E442E3" w:rsidP="00E442E3">
      <w:pPr>
        <w:pStyle w:val="sche3"/>
        <w:spacing w:before="120"/>
        <w:rPr>
          <w:rFonts w:ascii="Calibri" w:hAnsi="Calibri" w:cs="Calibri"/>
          <w:b/>
          <w:i/>
          <w:sz w:val="18"/>
          <w:szCs w:val="18"/>
          <w:lang w:val="it-IT"/>
        </w:rPr>
      </w:pPr>
    </w:p>
    <w:p w14:paraId="5907E217" w14:textId="12E7CB63" w:rsidR="00E442E3" w:rsidRPr="00C22C32" w:rsidRDefault="00E442E3" w:rsidP="00E442E3">
      <w:pPr>
        <w:pStyle w:val="sche3"/>
        <w:spacing w:before="120"/>
        <w:rPr>
          <w:rFonts w:ascii="Calibri" w:hAnsi="Calibri" w:cs="Calibri"/>
          <w:b/>
          <w:i/>
          <w:sz w:val="18"/>
          <w:szCs w:val="18"/>
          <w:u w:val="single"/>
          <w:lang w:val="it-IT"/>
        </w:rPr>
      </w:pPr>
      <w:r w:rsidRPr="001322E8">
        <w:rPr>
          <w:rFonts w:ascii="Calibri" w:hAnsi="Calibri" w:cs="Calibri"/>
          <w:b/>
          <w:i/>
          <w:sz w:val="18"/>
          <w:szCs w:val="18"/>
          <w:lang w:val="it-IT"/>
        </w:rPr>
        <w:t>N.B.</w:t>
      </w:r>
      <w:r w:rsidRPr="001322E8">
        <w:rPr>
          <w:rFonts w:ascii="Calibri" w:hAnsi="Calibri" w:cs="Calibri"/>
          <w:b/>
          <w:i/>
          <w:sz w:val="18"/>
          <w:szCs w:val="18"/>
          <w:u w:val="single"/>
          <w:lang w:val="it-IT"/>
        </w:rPr>
        <w:t xml:space="preserve"> La dichiarazione deve essere corredata da fotocopia, non autent</w:t>
      </w:r>
      <w:r>
        <w:rPr>
          <w:rFonts w:ascii="Calibri" w:hAnsi="Calibri" w:cs="Calibri"/>
          <w:b/>
          <w:i/>
          <w:sz w:val="18"/>
          <w:szCs w:val="18"/>
          <w:u w:val="single"/>
          <w:lang w:val="it-IT"/>
        </w:rPr>
        <w:t>icata, di documento di identità</w:t>
      </w:r>
      <w:r w:rsidRPr="001322E8">
        <w:rPr>
          <w:rFonts w:ascii="Calibri" w:hAnsi="Calibri" w:cs="Calibri"/>
          <w:b/>
          <w:i/>
          <w:sz w:val="18"/>
          <w:szCs w:val="18"/>
          <w:u w:val="single"/>
          <w:lang w:val="it-IT"/>
        </w:rPr>
        <w:t xml:space="preserve"> del sottoscrittore. </w:t>
      </w:r>
    </w:p>
    <w:bookmarkEnd w:id="2"/>
    <w:p w14:paraId="5B60D017" w14:textId="1E796C31" w:rsidR="00C41162" w:rsidRPr="006533B7" w:rsidRDefault="00C41162" w:rsidP="00763D49">
      <w:pPr>
        <w:ind w:right="140" w:hanging="284"/>
        <w:jc w:val="both"/>
        <w:rPr>
          <w:sz w:val="20"/>
          <w:szCs w:val="20"/>
        </w:rPr>
      </w:pPr>
    </w:p>
    <w:sectPr w:rsidR="00C41162" w:rsidRPr="006533B7">
      <w:headerReference w:type="default" r:id="rId17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89BD3" w14:textId="77777777" w:rsidR="006E1A24" w:rsidRDefault="006E1A24">
      <w:pPr>
        <w:spacing w:after="0" w:line="240" w:lineRule="auto"/>
      </w:pPr>
      <w:r>
        <w:separator/>
      </w:r>
    </w:p>
  </w:endnote>
  <w:endnote w:type="continuationSeparator" w:id="0">
    <w:p w14:paraId="46C42BF8" w14:textId="77777777" w:rsidR="006E1A24" w:rsidRDefault="006E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4E25" w14:textId="77777777" w:rsidR="006E1A24" w:rsidRDefault="006E1A24">
      <w:pPr>
        <w:rPr>
          <w:sz w:val="12"/>
        </w:rPr>
      </w:pPr>
      <w:r>
        <w:separator/>
      </w:r>
    </w:p>
  </w:footnote>
  <w:footnote w:type="continuationSeparator" w:id="0">
    <w:p w14:paraId="4AE538DE" w14:textId="77777777" w:rsidR="006E1A24" w:rsidRDefault="006E1A24">
      <w:pPr>
        <w:rPr>
          <w:sz w:val="12"/>
        </w:rPr>
      </w:pPr>
      <w:r>
        <w:continuationSeparator/>
      </w:r>
    </w:p>
  </w:footnote>
  <w:footnote w:id="1">
    <w:p w14:paraId="19C2CA13" w14:textId="77777777" w:rsidR="00C41162" w:rsidRPr="00B60807" w:rsidRDefault="00184306" w:rsidP="00942E88">
      <w:pPr>
        <w:rPr>
          <w:b/>
          <w:bCs/>
          <w:sz w:val="16"/>
          <w:szCs w:val="16"/>
          <w:u w:val="single"/>
        </w:rPr>
      </w:pPr>
      <w:r w:rsidRPr="00B60807">
        <w:rPr>
          <w:rStyle w:val="Rimandonotaapidipagina"/>
          <w:b/>
          <w:bCs/>
          <w:u w:val="single"/>
        </w:rPr>
        <w:footnoteRef/>
      </w:r>
      <w:r w:rsidRPr="00B60807">
        <w:rPr>
          <w:rStyle w:val="Rimandonotaapidipagina"/>
          <w:b/>
          <w:bCs/>
          <w:u w:val="single"/>
        </w:rPr>
        <w:t xml:space="preserve"> </w:t>
      </w:r>
      <w:r w:rsidRPr="00B60807">
        <w:rPr>
          <w:b/>
          <w:bCs/>
          <w:sz w:val="16"/>
          <w:szCs w:val="16"/>
          <w:u w:val="single"/>
        </w:rPr>
        <w:t xml:space="preserve">Le dichiarazioni devono essere rese dal titolare /rappresentante legale/institore </w:t>
      </w:r>
    </w:p>
    <w:p w14:paraId="60CF018F" w14:textId="77777777" w:rsidR="00C41162" w:rsidRPr="00B60807" w:rsidRDefault="00184306">
      <w:pPr>
        <w:pStyle w:val="Testonotaapidipagina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• </w:t>
      </w:r>
      <w:r w:rsidRPr="00B60807">
        <w:rPr>
          <w:b/>
          <w:bCs/>
          <w:sz w:val="16"/>
          <w:szCs w:val="16"/>
        </w:rPr>
        <w:t xml:space="preserve">dell'Operatore singolo, </w:t>
      </w:r>
    </w:p>
    <w:p w14:paraId="007BAFCF" w14:textId="77777777" w:rsidR="00C41162" w:rsidRPr="00B60807" w:rsidRDefault="00184306">
      <w:pPr>
        <w:pStyle w:val="Testonotaapidipagina"/>
        <w:rPr>
          <w:b/>
          <w:bCs/>
          <w:sz w:val="16"/>
          <w:szCs w:val="16"/>
        </w:rPr>
      </w:pPr>
      <w:r w:rsidRPr="00B60807">
        <w:rPr>
          <w:b/>
          <w:bCs/>
          <w:sz w:val="16"/>
          <w:szCs w:val="16"/>
        </w:rPr>
        <w:t>• dei consorzi di cui all’articolo 65, comma 2, lettere b) e c) del Codice.</w:t>
      </w:r>
    </w:p>
    <w:p w14:paraId="2414380C" w14:textId="77777777" w:rsidR="00C41162" w:rsidRPr="00B60807" w:rsidRDefault="00184306">
      <w:pPr>
        <w:pStyle w:val="Testonotaapidipagina"/>
        <w:rPr>
          <w:b/>
          <w:bCs/>
          <w:sz w:val="16"/>
          <w:szCs w:val="16"/>
        </w:rPr>
      </w:pPr>
      <w:r w:rsidRPr="00B60807">
        <w:rPr>
          <w:b/>
          <w:bCs/>
          <w:sz w:val="16"/>
          <w:szCs w:val="16"/>
        </w:rPr>
        <w:t xml:space="preserve">• dei consorzi stabili di cui all’articolo 65, comma 2, lett. d) del Codice, </w:t>
      </w:r>
    </w:p>
    <w:p w14:paraId="36B6DF68" w14:textId="77777777" w:rsidR="00C41162" w:rsidRPr="00B60807" w:rsidRDefault="00184306">
      <w:pPr>
        <w:pStyle w:val="Testonotaapidipagina"/>
        <w:rPr>
          <w:b/>
          <w:bCs/>
          <w:sz w:val="16"/>
          <w:szCs w:val="16"/>
        </w:rPr>
      </w:pPr>
      <w:r w:rsidRPr="00B60807">
        <w:rPr>
          <w:b/>
          <w:bCs/>
          <w:sz w:val="16"/>
          <w:szCs w:val="16"/>
        </w:rPr>
        <w:t xml:space="preserve">• della Mandataria /Capofila nel caso di RTI o Consorzi Ordinari costituiti </w:t>
      </w:r>
    </w:p>
    <w:p w14:paraId="20A55CDB" w14:textId="77777777" w:rsidR="00C41162" w:rsidRPr="00B60807" w:rsidRDefault="00184306">
      <w:pPr>
        <w:pStyle w:val="Testonotaapidipagina"/>
        <w:rPr>
          <w:b/>
          <w:bCs/>
          <w:sz w:val="16"/>
          <w:szCs w:val="16"/>
        </w:rPr>
      </w:pPr>
      <w:r w:rsidRPr="00B60807">
        <w:rPr>
          <w:b/>
          <w:bCs/>
          <w:sz w:val="16"/>
          <w:szCs w:val="16"/>
        </w:rPr>
        <w:t xml:space="preserve">• di tutte le imprese raggruppate in un RTI nel caso di RTI ancora da costituire </w:t>
      </w:r>
    </w:p>
    <w:p w14:paraId="02E8050B" w14:textId="7598AD4E" w:rsidR="00C41162" w:rsidRPr="00B60807" w:rsidRDefault="00184306">
      <w:pPr>
        <w:pStyle w:val="Testonotaapidipagina"/>
        <w:rPr>
          <w:b/>
          <w:bCs/>
          <w:sz w:val="16"/>
          <w:szCs w:val="16"/>
        </w:rPr>
      </w:pPr>
      <w:r w:rsidRPr="00B60807">
        <w:rPr>
          <w:b/>
          <w:bCs/>
          <w:sz w:val="16"/>
          <w:szCs w:val="16"/>
        </w:rPr>
        <w:t xml:space="preserve">• di tutte le imprese consorziate </w:t>
      </w:r>
      <w:r w:rsidR="00DD2513" w:rsidRPr="00B60807">
        <w:rPr>
          <w:b/>
          <w:bCs/>
          <w:sz w:val="16"/>
          <w:szCs w:val="16"/>
        </w:rPr>
        <w:t xml:space="preserve">che partecipano alla gara </w:t>
      </w:r>
      <w:r w:rsidRPr="00B60807">
        <w:rPr>
          <w:b/>
          <w:bCs/>
          <w:sz w:val="16"/>
          <w:szCs w:val="16"/>
        </w:rPr>
        <w:t>nel caso di un Consorzio Ordinario ancora da costituire</w:t>
      </w:r>
    </w:p>
    <w:p w14:paraId="1A16356A" w14:textId="77777777" w:rsidR="00C41162" w:rsidRPr="00B60807" w:rsidRDefault="00184306">
      <w:pPr>
        <w:pStyle w:val="Testonotaapidipagina"/>
        <w:rPr>
          <w:b/>
          <w:bCs/>
          <w:sz w:val="16"/>
          <w:szCs w:val="16"/>
        </w:rPr>
      </w:pPr>
      <w:r w:rsidRPr="00B60807">
        <w:rPr>
          <w:b/>
          <w:bCs/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610BE2BF" w14:textId="5CE9BE94" w:rsidR="00C41162" w:rsidRPr="00B60807" w:rsidRDefault="00184306" w:rsidP="00A718A5">
      <w:pPr>
        <w:pStyle w:val="Testonotaapidipagina"/>
        <w:jc w:val="both"/>
        <w:rPr>
          <w:b/>
          <w:bCs/>
          <w:sz w:val="16"/>
          <w:szCs w:val="16"/>
        </w:rPr>
      </w:pPr>
      <w:r w:rsidRPr="00B60807">
        <w:rPr>
          <w:b/>
          <w:bCs/>
          <w:sz w:val="16"/>
          <w:szCs w:val="16"/>
        </w:rPr>
        <w:t xml:space="preserve">• </w:t>
      </w:r>
      <w:r w:rsidR="00345201" w:rsidRPr="00B60807">
        <w:rPr>
          <w:b/>
          <w:bCs/>
          <w:sz w:val="16"/>
          <w:szCs w:val="16"/>
        </w:rPr>
        <w:t>delle</w:t>
      </w:r>
      <w:r w:rsidRPr="00B60807">
        <w:rPr>
          <w:b/>
          <w:bCs/>
          <w:sz w:val="16"/>
          <w:szCs w:val="16"/>
        </w:rPr>
        <w:t xml:space="preserve"> imprese retiste </w:t>
      </w:r>
      <w:r w:rsidR="00DD2513" w:rsidRPr="00B60807">
        <w:rPr>
          <w:b/>
          <w:bCs/>
          <w:sz w:val="16"/>
          <w:szCs w:val="16"/>
        </w:rPr>
        <w:t xml:space="preserve">che partecipano alla gara </w:t>
      </w:r>
      <w:r w:rsidRPr="00B60807">
        <w:rPr>
          <w:b/>
          <w:bCs/>
          <w:sz w:val="16"/>
          <w:szCs w:val="16"/>
        </w:rPr>
        <w:t xml:space="preserve">nel caso di Rete dotata di organo comune privo di rappresentanza o se la Rete è sprovvista di organo comune o se l’organo comune è privo dei requisiti di qualificazione richiesti per assumere la veste di mandataria. </w:t>
      </w:r>
    </w:p>
    <w:p w14:paraId="2006B5EB" w14:textId="77777777" w:rsidR="00C41162" w:rsidRPr="00B60807" w:rsidRDefault="00184306">
      <w:pPr>
        <w:pStyle w:val="Testonotaapidipagina"/>
        <w:rPr>
          <w:b/>
          <w:bCs/>
          <w:sz w:val="16"/>
          <w:szCs w:val="16"/>
        </w:rPr>
      </w:pPr>
      <w:r w:rsidRPr="00B60807">
        <w:rPr>
          <w:b/>
          <w:bCs/>
          <w:sz w:val="16"/>
          <w:szCs w:val="16"/>
        </w:rPr>
        <w:t>• del Gruppo Europeo Interesse Economico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3" w:type="dxa"/>
      <w:jc w:val="center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2263"/>
      <w:gridCol w:w="5953"/>
      <w:gridCol w:w="1867"/>
    </w:tblGrid>
    <w:tr w:rsidR="00B60807" w:rsidRPr="00B14D60" w14:paraId="6072BC1B" w14:textId="77777777" w:rsidTr="003843E3">
      <w:trPr>
        <w:cantSplit/>
        <w:trHeight w:val="1408"/>
        <w:jc w:val="center"/>
      </w:trPr>
      <w:tc>
        <w:tcPr>
          <w:tcW w:w="2263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  <w:hideMark/>
        </w:tcPr>
        <w:p w14:paraId="472AFA7A" w14:textId="77777777" w:rsidR="00B60807" w:rsidRPr="00B14D60" w:rsidRDefault="00B60807" w:rsidP="00B60807">
          <w:pPr>
            <w:rPr>
              <w:rFonts w:cs="Tahoma"/>
              <w:sz w:val="16"/>
              <w:szCs w:val="20"/>
            </w:rPr>
          </w:pPr>
          <w:bookmarkStart w:id="3" w:name="_Hlk128647754"/>
          <w:r w:rsidRPr="00B14D60">
            <w:rPr>
              <w:rFonts w:cs="Tahoma"/>
              <w:noProof/>
              <w:sz w:val="16"/>
              <w:szCs w:val="20"/>
              <w:lang w:eastAsia="it-IT"/>
            </w:rPr>
            <w:drawing>
              <wp:inline distT="0" distB="0" distL="0" distR="0" wp14:anchorId="2CA75457" wp14:editId="2A5B631A">
                <wp:extent cx="1295400" cy="908559"/>
                <wp:effectExtent l="0" t="0" r="0" b="6350"/>
                <wp:docPr id="54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019" cy="9314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0EBC4AB8" w14:textId="77777777" w:rsidR="00F04BDF" w:rsidRDefault="00F04BDF" w:rsidP="00F04BDF">
          <w:pPr>
            <w:spacing w:after="0" w:line="276" w:lineRule="auto"/>
            <w:rPr>
              <w:rFonts w:ascii="Garamond" w:eastAsia="Batang" w:hAnsi="Garamond" w:cs="Times New Roman"/>
              <w:b/>
              <w:bCs/>
              <w:sz w:val="20"/>
            </w:rPr>
          </w:pPr>
        </w:p>
        <w:p w14:paraId="688B1B5B" w14:textId="06200821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Batang" w:hAnsi="Garamond" w:cs="Times New Roman"/>
              <w:b/>
              <w:bCs/>
              <w:sz w:val="20"/>
            </w:rPr>
          </w:pPr>
          <w:r w:rsidRPr="00B14D60">
            <w:rPr>
              <w:rFonts w:ascii="Garamond" w:eastAsia="Batang" w:hAnsi="Garamond" w:cs="Times New Roman"/>
              <w:b/>
              <w:bCs/>
              <w:sz w:val="20"/>
            </w:rPr>
            <w:t>Asmel Consortile s.c. a r.l.</w:t>
          </w:r>
          <w:r>
            <w:rPr>
              <w:rFonts w:ascii="Garamond" w:eastAsia="Batang" w:hAnsi="Garamond" w:cs="Times New Roman"/>
              <w:b/>
              <w:bCs/>
              <w:sz w:val="20"/>
            </w:rPr>
            <w:t xml:space="preserve"> – Comune di </w:t>
          </w:r>
          <w:r w:rsidR="005C5EE1">
            <w:rPr>
              <w:rFonts w:ascii="Garamond" w:eastAsia="Batang" w:hAnsi="Garamond" w:cs="Times New Roman"/>
              <w:b/>
              <w:bCs/>
              <w:sz w:val="20"/>
            </w:rPr>
            <w:t>Capaccio Paestum</w:t>
          </w:r>
        </w:p>
        <w:p w14:paraId="3BA559D6" w14:textId="77777777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Batang" w:hAnsi="Garamond" w:cs="Times New Roman"/>
              <w:sz w:val="20"/>
            </w:rPr>
          </w:pPr>
          <w:r w:rsidRPr="00B14D60">
            <w:rPr>
              <w:rFonts w:ascii="Garamond" w:eastAsia="Batang" w:hAnsi="Garamond" w:cs="Times New Roman"/>
              <w:sz w:val="20"/>
            </w:rPr>
            <w:t>Sede Legale: Via Carlo Cattaneo,9 – Gallarate (VA)</w:t>
          </w:r>
        </w:p>
        <w:p w14:paraId="5174302C" w14:textId="77777777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Batang" w:hAnsi="Garamond" w:cs="Times New Roman"/>
              <w:sz w:val="20"/>
            </w:rPr>
          </w:pPr>
          <w:r w:rsidRPr="00B14D60">
            <w:rPr>
              <w:rFonts w:ascii="Garamond" w:eastAsia="Batang" w:hAnsi="Garamond" w:cs="Times New Roman"/>
              <w:sz w:val="20"/>
            </w:rPr>
            <w:t>Sede Operativa: Centro Direzionale - Isola G8 - Napoli</w:t>
          </w:r>
        </w:p>
        <w:p w14:paraId="7168E21F" w14:textId="77777777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Times New Roman" w:hAnsi="Garamond" w:cs="Times New Roman"/>
              <w:sz w:val="8"/>
              <w:szCs w:val="12"/>
            </w:rPr>
          </w:pPr>
          <w:r w:rsidRPr="00B14D60">
            <w:rPr>
              <w:rFonts w:ascii="Garamond" w:eastAsia="Batang" w:hAnsi="Garamond" w:cs="Times New Roman"/>
              <w:sz w:val="20"/>
            </w:rPr>
            <w:t xml:space="preserve">info@asmecomm.it - </w:t>
          </w:r>
          <w:proofErr w:type="spellStart"/>
          <w:r w:rsidRPr="00B14D60">
            <w:rPr>
              <w:rFonts w:ascii="Garamond" w:eastAsia="Batang" w:hAnsi="Garamond" w:cs="Times New Roman"/>
              <w:sz w:val="20"/>
            </w:rPr>
            <w:t>P.Iva</w:t>
          </w:r>
          <w:proofErr w:type="spellEnd"/>
          <w:r w:rsidRPr="00B14D60">
            <w:rPr>
              <w:rFonts w:ascii="Garamond" w:eastAsia="Batang" w:hAnsi="Garamond" w:cs="Times New Roman"/>
              <w:sz w:val="20"/>
            </w:rPr>
            <w:t>: 12236141003</w:t>
          </w:r>
        </w:p>
        <w:p w14:paraId="3BF10BAA" w14:textId="5FB7ACCE" w:rsidR="00B60807" w:rsidRPr="00B14D60" w:rsidRDefault="006E1A24" w:rsidP="00F04BDF">
          <w:pPr>
            <w:jc w:val="center"/>
            <w:rPr>
              <w:rFonts w:ascii="Garamond" w:eastAsia="Times New Roman" w:hAnsi="Garamond" w:cs="Arial"/>
              <w:color w:val="0563C1"/>
              <w:sz w:val="2"/>
              <w:szCs w:val="2"/>
              <w:u w:val="single"/>
            </w:rPr>
          </w:pPr>
          <w:hyperlink r:id="rId2" w:history="1">
            <w:r w:rsidR="00F04BDF" w:rsidRPr="004F14AB">
              <w:rPr>
                <w:rStyle w:val="Collegamentoipertestuale"/>
                <w:rFonts w:ascii="Garamond" w:eastAsia="Times New Roman" w:hAnsi="Garamond" w:cs="Arial"/>
                <w:sz w:val="20"/>
                <w:szCs w:val="12"/>
              </w:rPr>
              <w:t>www.asmecomm.it</w:t>
            </w:r>
          </w:hyperlink>
        </w:p>
      </w:tc>
      <w:tc>
        <w:tcPr>
          <w:tcW w:w="18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5A50950B" w14:textId="247B5AEE" w:rsidR="00B60807" w:rsidRPr="00B14D60" w:rsidRDefault="005C5EE1" w:rsidP="005C5EE1">
          <w:pPr>
            <w:ind w:left="33"/>
            <w:rPr>
              <w:sz w:val="16"/>
              <w:szCs w:val="20"/>
            </w:rPr>
          </w:pPr>
          <w:r w:rsidRPr="004E4745">
            <w:rPr>
              <w:noProof/>
              <w:sz w:val="20"/>
              <w:szCs w:val="18"/>
              <w:lang w:eastAsia="it-IT"/>
            </w:rPr>
            <w:drawing>
              <wp:inline distT="0" distB="0" distL="0" distR="0" wp14:anchorId="380F6806" wp14:editId="4FB9C304">
                <wp:extent cx="1028700" cy="1028700"/>
                <wp:effectExtent l="0" t="0" r="0" b="0"/>
                <wp:docPr id="1" name="Immagine 1" descr="CAPACCIO_logo-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ACCIO_logo-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29514400" w14:textId="77777777" w:rsidR="00C41162" w:rsidRDefault="00C41162">
    <w:pPr>
      <w:pStyle w:val="Intestazione"/>
    </w:pPr>
  </w:p>
  <w:p w14:paraId="2DAA812D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51AF"/>
    <w:multiLevelType w:val="hybridMultilevel"/>
    <w:tmpl w:val="BC743A16"/>
    <w:lvl w:ilvl="0" w:tplc="DC82069A">
      <w:start w:val="1"/>
      <w:numFmt w:val="lowerLetter"/>
      <w:lvlText w:val="%1)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209510">
      <w:start w:val="1"/>
      <w:numFmt w:val="lowerLetter"/>
      <w:lvlText w:val="%2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FEE25C">
      <w:start w:val="1"/>
      <w:numFmt w:val="lowerRoman"/>
      <w:lvlText w:val="%3"/>
      <w:lvlJc w:val="left"/>
      <w:pPr>
        <w:ind w:left="2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BA6E1E">
      <w:start w:val="1"/>
      <w:numFmt w:val="decimal"/>
      <w:lvlText w:val="%4"/>
      <w:lvlJc w:val="left"/>
      <w:pPr>
        <w:ind w:left="2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BC9F6A">
      <w:start w:val="1"/>
      <w:numFmt w:val="lowerLetter"/>
      <w:lvlText w:val="%5"/>
      <w:lvlJc w:val="left"/>
      <w:pPr>
        <w:ind w:left="3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C696B8">
      <w:start w:val="1"/>
      <w:numFmt w:val="lowerRoman"/>
      <w:lvlText w:val="%6"/>
      <w:lvlJc w:val="left"/>
      <w:pPr>
        <w:ind w:left="4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0AF090">
      <w:start w:val="1"/>
      <w:numFmt w:val="decimal"/>
      <w:lvlText w:val="%7"/>
      <w:lvlJc w:val="left"/>
      <w:pPr>
        <w:ind w:left="5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4ADE12">
      <w:start w:val="1"/>
      <w:numFmt w:val="lowerLetter"/>
      <w:lvlText w:val="%8"/>
      <w:lvlJc w:val="left"/>
      <w:pPr>
        <w:ind w:left="5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1CBE68">
      <w:start w:val="1"/>
      <w:numFmt w:val="lowerRoman"/>
      <w:lvlText w:val="%9"/>
      <w:lvlJc w:val="left"/>
      <w:pPr>
        <w:ind w:left="6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7F2742"/>
    <w:multiLevelType w:val="hybridMultilevel"/>
    <w:tmpl w:val="FE9AE4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ED4195"/>
    <w:multiLevelType w:val="multilevel"/>
    <w:tmpl w:val="7C624A4C"/>
    <w:lvl w:ilvl="0">
      <w:start w:val="10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0" w15:restartNumberingAfterBreak="0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62"/>
    <w:rsid w:val="000805C3"/>
    <w:rsid w:val="000E5869"/>
    <w:rsid w:val="00141B8D"/>
    <w:rsid w:val="00184306"/>
    <w:rsid w:val="001D24C1"/>
    <w:rsid w:val="001E36AF"/>
    <w:rsid w:val="002A377A"/>
    <w:rsid w:val="00345201"/>
    <w:rsid w:val="00360387"/>
    <w:rsid w:val="00374C86"/>
    <w:rsid w:val="00432C93"/>
    <w:rsid w:val="004350CA"/>
    <w:rsid w:val="00482016"/>
    <w:rsid w:val="004B0453"/>
    <w:rsid w:val="00500F41"/>
    <w:rsid w:val="005C5EE1"/>
    <w:rsid w:val="00601679"/>
    <w:rsid w:val="006026A2"/>
    <w:rsid w:val="00634E40"/>
    <w:rsid w:val="006533B7"/>
    <w:rsid w:val="0066102F"/>
    <w:rsid w:val="0069625E"/>
    <w:rsid w:val="006E1A24"/>
    <w:rsid w:val="00715AE4"/>
    <w:rsid w:val="00763D49"/>
    <w:rsid w:val="007F23CD"/>
    <w:rsid w:val="00940E73"/>
    <w:rsid w:val="00942E88"/>
    <w:rsid w:val="009A06BF"/>
    <w:rsid w:val="009A1C67"/>
    <w:rsid w:val="009B5141"/>
    <w:rsid w:val="009E46B4"/>
    <w:rsid w:val="00A718A5"/>
    <w:rsid w:val="00A916C3"/>
    <w:rsid w:val="00B60807"/>
    <w:rsid w:val="00B7690A"/>
    <w:rsid w:val="00BA1628"/>
    <w:rsid w:val="00BF1D89"/>
    <w:rsid w:val="00BF4C0F"/>
    <w:rsid w:val="00BF7CBE"/>
    <w:rsid w:val="00C41162"/>
    <w:rsid w:val="00C87894"/>
    <w:rsid w:val="00D778F8"/>
    <w:rsid w:val="00DD2513"/>
    <w:rsid w:val="00DF2087"/>
    <w:rsid w:val="00DF4EDE"/>
    <w:rsid w:val="00E11E7A"/>
    <w:rsid w:val="00E442E3"/>
    <w:rsid w:val="00E9211F"/>
    <w:rsid w:val="00F04BDF"/>
    <w:rsid w:val="00F05ACD"/>
    <w:rsid w:val="00F27E15"/>
    <w:rsid w:val="00F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60807"/>
    <w:rPr>
      <w:color w:val="0563C1" w:themeColor="hyperlink"/>
      <w:u w:val="single"/>
    </w:rPr>
  </w:style>
  <w:style w:type="table" w:styleId="Tabellaelenco4-colore1">
    <w:name w:val="List Table 4 Accent 1"/>
    <w:basedOn w:val="Tabellanormale"/>
    <w:uiPriority w:val="49"/>
    <w:rsid w:val="00B60807"/>
    <w:pPr>
      <w:suppressAutoHyphens w:val="0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regolamento">
    <w:name w:val="regolamento"/>
    <w:basedOn w:val="Normale"/>
    <w:rsid w:val="00634E40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3">
    <w:name w:val="sche_3"/>
    <w:rsid w:val="00601679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codicepenale.htm" TargetMode="External"/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codicepenal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codicecivile.htm" TargetMode="External"/><Relationship Id="rId10" Type="http://schemas.openxmlformats.org/officeDocument/2006/relationships/hyperlink" Target="https://www.bosettiegatti.eu/info/norme/statali/2023_0036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hyperlink" Target="https://www.bosettiegatti.eu/info/norme/statali/codicepenale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smecomm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AC07-B379-4E9E-BB32-EB0D906B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LL_PP_03</cp:lastModifiedBy>
  <cp:revision>36</cp:revision>
  <cp:lastPrinted>2023-12-13T08:59:00Z</cp:lastPrinted>
  <dcterms:created xsi:type="dcterms:W3CDTF">2023-12-18T11:23:00Z</dcterms:created>
  <dcterms:modified xsi:type="dcterms:W3CDTF">2024-03-11T11:03:00Z</dcterms:modified>
  <dc:language>it-IT</dc:language>
</cp:coreProperties>
</file>